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D8C6" w14:textId="77777777" w:rsidR="007F5B8D" w:rsidRPr="00B058AC" w:rsidRDefault="007F5B8D" w:rsidP="00513768">
      <w:pPr>
        <w:widowControl w:val="0"/>
        <w:jc w:val="center"/>
      </w:pPr>
      <w:r w:rsidRPr="00B058AC">
        <w:t xml:space="preserve">МИНИСТЕРСТВО ЗДРАВООХРАНЕНИЯ РОССИЙСКОЙ ФЕДЕРАЦИИ </w:t>
      </w:r>
    </w:p>
    <w:p w14:paraId="116CC538" w14:textId="77777777" w:rsidR="00227F05" w:rsidRPr="00B058AC" w:rsidRDefault="00227F05" w:rsidP="00513768">
      <w:pPr>
        <w:widowControl w:val="0"/>
        <w:jc w:val="center"/>
      </w:pPr>
    </w:p>
    <w:p w14:paraId="34C4BABD" w14:textId="77777777" w:rsidR="007F5B8D" w:rsidRPr="00B058AC" w:rsidRDefault="007F5B8D" w:rsidP="00513768">
      <w:pPr>
        <w:widowControl w:val="0"/>
        <w:jc w:val="center"/>
      </w:pPr>
      <w:r w:rsidRPr="00B058AC">
        <w:t>ИНСТРУКЦИЯ</w:t>
      </w:r>
    </w:p>
    <w:p w14:paraId="7A3CA698" w14:textId="77777777" w:rsidR="007F5B8D" w:rsidRPr="00B058AC" w:rsidRDefault="007F5B8D" w:rsidP="00513768">
      <w:pPr>
        <w:widowControl w:val="0"/>
        <w:jc w:val="center"/>
        <w:rPr>
          <w:color w:val="000000"/>
        </w:rPr>
      </w:pPr>
      <w:r w:rsidRPr="00B058AC">
        <w:rPr>
          <w:color w:val="000000"/>
        </w:rPr>
        <w:t>ПО МЕДИЦИНСКОМУ ПРИМЕНЕНИЮ ЛЕКАРСТВЕННОГО ПРЕПАРАТА</w:t>
      </w:r>
    </w:p>
    <w:p w14:paraId="03D00F6E" w14:textId="14D69E08" w:rsidR="007F5B8D" w:rsidRPr="00B058AC" w:rsidRDefault="007F5B8D" w:rsidP="00513768">
      <w:pPr>
        <w:widowControl w:val="0"/>
        <w:jc w:val="center"/>
      </w:pPr>
    </w:p>
    <w:p w14:paraId="08796496" w14:textId="77777777" w:rsidR="00227F05" w:rsidRPr="00B058AC" w:rsidRDefault="00227F05" w:rsidP="00513768">
      <w:pPr>
        <w:widowControl w:val="0"/>
        <w:jc w:val="center"/>
      </w:pPr>
    </w:p>
    <w:p w14:paraId="5FECAC53" w14:textId="0259A895" w:rsidR="007F5B8D" w:rsidRPr="00B058AC" w:rsidRDefault="009C7B7A" w:rsidP="00513768">
      <w:pPr>
        <w:widowControl w:val="0"/>
        <w:jc w:val="center"/>
        <w:rPr>
          <w:b/>
        </w:rPr>
      </w:pPr>
      <w:r w:rsidRPr="00B058AC">
        <w:rPr>
          <w:b/>
          <w:color w:val="000000"/>
        </w:rPr>
        <w:t>Тримектал</w:t>
      </w:r>
      <w:r w:rsidRPr="00B058AC">
        <w:rPr>
          <w:b/>
          <w:color w:val="000000"/>
          <w:vertAlign w:val="superscript"/>
        </w:rPr>
        <w:t>®</w:t>
      </w:r>
      <w:r w:rsidR="00E07000">
        <w:rPr>
          <w:b/>
          <w:color w:val="000000"/>
        </w:rPr>
        <w:t> </w:t>
      </w:r>
      <w:r w:rsidRPr="00B058AC">
        <w:rPr>
          <w:b/>
          <w:color w:val="000000"/>
        </w:rPr>
        <w:t>ОД</w:t>
      </w:r>
    </w:p>
    <w:p w14:paraId="159BE34B" w14:textId="77777777" w:rsidR="007F5B8D" w:rsidRPr="00B058AC" w:rsidRDefault="007F5B8D" w:rsidP="00513768">
      <w:pPr>
        <w:widowControl w:val="0"/>
        <w:jc w:val="center"/>
      </w:pPr>
    </w:p>
    <w:p w14:paraId="186B6062" w14:textId="77777777" w:rsidR="007F5B8D" w:rsidRPr="00B058AC" w:rsidRDefault="007F5B8D" w:rsidP="00513768">
      <w:pPr>
        <w:widowControl w:val="0"/>
        <w:jc w:val="center"/>
      </w:pPr>
    </w:p>
    <w:p w14:paraId="6A5D428D" w14:textId="77777777" w:rsidR="007F5B8D" w:rsidRPr="00B058AC" w:rsidRDefault="007F5B8D" w:rsidP="00513768">
      <w:pPr>
        <w:widowControl w:val="0"/>
        <w:jc w:val="both"/>
        <w:rPr>
          <w:b/>
        </w:rPr>
      </w:pPr>
      <w:r w:rsidRPr="00B058AC">
        <w:rPr>
          <w:b/>
        </w:rPr>
        <w:t>Регистрационный номер:</w:t>
      </w:r>
    </w:p>
    <w:p w14:paraId="16CF08D8" w14:textId="226649D1" w:rsidR="007F5B8D" w:rsidRPr="00B058AC" w:rsidRDefault="007F5B8D" w:rsidP="00513768">
      <w:pPr>
        <w:widowControl w:val="0"/>
        <w:rPr>
          <w:b/>
        </w:rPr>
      </w:pPr>
      <w:r w:rsidRPr="00B058AC">
        <w:rPr>
          <w:b/>
        </w:rPr>
        <w:t xml:space="preserve">Торговое наименование: </w:t>
      </w:r>
      <w:r w:rsidR="009C7B7A" w:rsidRPr="00B058AC">
        <w:rPr>
          <w:color w:val="000000"/>
        </w:rPr>
        <w:t>Тримектал</w:t>
      </w:r>
      <w:r w:rsidR="009C7B7A" w:rsidRPr="00B058AC">
        <w:rPr>
          <w:color w:val="000000"/>
          <w:vertAlign w:val="superscript"/>
        </w:rPr>
        <w:t>®</w:t>
      </w:r>
      <w:r w:rsidR="00E07000">
        <w:rPr>
          <w:color w:val="000000"/>
        </w:rPr>
        <w:t> </w:t>
      </w:r>
      <w:r w:rsidR="009C7B7A" w:rsidRPr="00B058AC">
        <w:rPr>
          <w:color w:val="000000"/>
        </w:rPr>
        <w:t>ОД</w:t>
      </w:r>
    </w:p>
    <w:p w14:paraId="1F931658" w14:textId="6FC1B8DE" w:rsidR="007F5B8D" w:rsidRPr="00B058AC" w:rsidRDefault="007F5B8D" w:rsidP="00513768">
      <w:pPr>
        <w:widowControl w:val="0"/>
        <w:jc w:val="both"/>
      </w:pPr>
      <w:r w:rsidRPr="00B058AC">
        <w:rPr>
          <w:b/>
        </w:rPr>
        <w:t>Международное непатентованное наименование:</w:t>
      </w:r>
      <w:r w:rsidRPr="00B058AC">
        <w:t xml:space="preserve"> </w:t>
      </w:r>
      <w:r w:rsidR="00227F05" w:rsidRPr="00B058AC">
        <w:t>т</w:t>
      </w:r>
      <w:r w:rsidR="00C23323" w:rsidRPr="00B058AC">
        <w:t>риметазидин</w:t>
      </w:r>
    </w:p>
    <w:p w14:paraId="68CCF992" w14:textId="77777777" w:rsidR="007F5B8D" w:rsidRPr="00B058AC" w:rsidRDefault="007F5B8D" w:rsidP="00513768">
      <w:pPr>
        <w:widowControl w:val="0"/>
        <w:jc w:val="both"/>
      </w:pPr>
      <w:r w:rsidRPr="00B058AC">
        <w:rPr>
          <w:b/>
        </w:rPr>
        <w:t>Лекарственная форма:</w:t>
      </w:r>
      <w:r w:rsidRPr="00B058AC">
        <w:t xml:space="preserve"> </w:t>
      </w:r>
      <w:r w:rsidR="00C27FA6" w:rsidRPr="00B058AC">
        <w:t>таблетки</w:t>
      </w:r>
      <w:r w:rsidR="00C23323" w:rsidRPr="00B058AC">
        <w:t xml:space="preserve"> с пролонгированным высвобождением</w:t>
      </w:r>
      <w:r w:rsidR="00A9353D" w:rsidRPr="00B058AC">
        <w:t>, покрытые пленочной оболочкой</w:t>
      </w:r>
    </w:p>
    <w:p w14:paraId="1A8F3A72" w14:textId="77777777" w:rsidR="007F5B8D" w:rsidRPr="00B058AC" w:rsidRDefault="007F5B8D" w:rsidP="00513768">
      <w:pPr>
        <w:widowControl w:val="0"/>
        <w:autoSpaceDE w:val="0"/>
        <w:autoSpaceDN w:val="0"/>
        <w:adjustRightInd w:val="0"/>
        <w:jc w:val="both"/>
      </w:pPr>
    </w:p>
    <w:p w14:paraId="03C1EA2E" w14:textId="77777777" w:rsidR="007F5B8D" w:rsidRPr="00B058AC" w:rsidRDefault="007F5B8D" w:rsidP="005137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058AC">
        <w:rPr>
          <w:b/>
        </w:rPr>
        <w:t>Состав</w:t>
      </w:r>
    </w:p>
    <w:p w14:paraId="4141941E" w14:textId="77777777" w:rsidR="007F5B8D" w:rsidRPr="00B058AC" w:rsidRDefault="007F5B8D" w:rsidP="00513768">
      <w:pPr>
        <w:widowControl w:val="0"/>
        <w:autoSpaceDE w:val="0"/>
        <w:autoSpaceDN w:val="0"/>
        <w:adjustRightInd w:val="0"/>
        <w:jc w:val="both"/>
      </w:pPr>
      <w:r w:rsidRPr="00B058AC">
        <w:t>Одна таблетка содержит:</w:t>
      </w:r>
    </w:p>
    <w:p w14:paraId="0BDC1F97" w14:textId="6D7B30B6" w:rsidR="007F5B8D" w:rsidRPr="00B058AC" w:rsidRDefault="007F5B8D" w:rsidP="00513768">
      <w:pPr>
        <w:widowControl w:val="0"/>
        <w:autoSpaceDE w:val="0"/>
        <w:autoSpaceDN w:val="0"/>
        <w:adjustRightInd w:val="0"/>
        <w:jc w:val="both"/>
      </w:pPr>
      <w:r w:rsidRPr="00B058AC">
        <w:rPr>
          <w:i/>
        </w:rPr>
        <w:t xml:space="preserve">действующее вещество: </w:t>
      </w:r>
      <w:r w:rsidR="00E32197" w:rsidRPr="00B058AC">
        <w:t>триметазидин</w:t>
      </w:r>
      <w:r w:rsidR="00416709" w:rsidRPr="00B058AC">
        <w:t>а</w:t>
      </w:r>
      <w:r w:rsidR="00E32197" w:rsidRPr="00B058AC">
        <w:t xml:space="preserve"> дигидрохлорид – 80,00</w:t>
      </w:r>
      <w:r w:rsidR="00AF11CE" w:rsidRPr="00B058AC">
        <w:t> </w:t>
      </w:r>
      <w:r w:rsidR="00E32197" w:rsidRPr="00B058AC">
        <w:t>мг;</w:t>
      </w:r>
    </w:p>
    <w:p w14:paraId="16B48B6C" w14:textId="75D47AC5" w:rsidR="007F5B8D" w:rsidRPr="00B058AC" w:rsidRDefault="007F5B8D" w:rsidP="00513768">
      <w:pPr>
        <w:widowControl w:val="0"/>
        <w:autoSpaceDE w:val="0"/>
        <w:autoSpaceDN w:val="0"/>
        <w:adjustRightInd w:val="0"/>
        <w:jc w:val="both"/>
      </w:pPr>
      <w:r w:rsidRPr="00B058AC">
        <w:rPr>
          <w:i/>
        </w:rPr>
        <w:t>вспомогательные вещества:</w:t>
      </w:r>
      <w:r w:rsidRPr="00B058AC">
        <w:t xml:space="preserve"> </w:t>
      </w:r>
      <w:r w:rsidR="00416709" w:rsidRPr="00B058AC">
        <w:t>гипромеллоза, крахмал кукурузный прежелатинизированный</w:t>
      </w:r>
      <w:r w:rsidR="00E32197" w:rsidRPr="00B058AC">
        <w:t xml:space="preserve">, </w:t>
      </w:r>
      <w:r w:rsidR="00416709" w:rsidRPr="00B058AC">
        <w:t>магния стеарат, кремния диоксид коллоидный;</w:t>
      </w:r>
    </w:p>
    <w:p w14:paraId="6E8FAE54" w14:textId="529ABAF4" w:rsidR="00416709" w:rsidRPr="00B058AC" w:rsidRDefault="00416709" w:rsidP="00513768">
      <w:pPr>
        <w:widowControl w:val="0"/>
        <w:autoSpaceDE w:val="0"/>
        <w:autoSpaceDN w:val="0"/>
        <w:adjustRightInd w:val="0"/>
        <w:jc w:val="both"/>
      </w:pPr>
      <w:r w:rsidRPr="00B058AC">
        <w:rPr>
          <w:i/>
        </w:rPr>
        <w:t xml:space="preserve">пленочная оболочка </w:t>
      </w:r>
      <w:r w:rsidR="00E11AD6" w:rsidRPr="00B058AC">
        <w:rPr>
          <w:i/>
        </w:rPr>
        <w:t>№ 1</w:t>
      </w:r>
      <w:r w:rsidRPr="00B058AC">
        <w:rPr>
          <w:i/>
        </w:rPr>
        <w:t>:</w:t>
      </w:r>
      <w:r w:rsidRPr="00B058AC">
        <w:t xml:space="preserve"> </w:t>
      </w:r>
      <w:r w:rsidR="00E11AD6" w:rsidRPr="00B058AC">
        <w:t xml:space="preserve">[гипромеллоза, тальк, титана диоксид, макрогол 4000 (полиэтиленгликоль 4000)] </w:t>
      </w:r>
      <w:r w:rsidRPr="00B058AC">
        <w:t>или [сухая смесь для пленочного покрытия</w:t>
      </w:r>
      <w:r w:rsidR="00E11AD6" w:rsidRPr="00B058AC">
        <w:t>, содержащая гипромеллозу, тальк</w:t>
      </w:r>
      <w:r w:rsidRPr="00B058AC">
        <w:t>, титана диокид, макрогол 4000 (полиэтил</w:t>
      </w:r>
      <w:r w:rsidR="00E11AD6" w:rsidRPr="00B058AC">
        <w:t>енгликоль 4000)];</w:t>
      </w:r>
    </w:p>
    <w:p w14:paraId="4AACBE6C" w14:textId="3E688B74" w:rsidR="00E11AD6" w:rsidRPr="00B058AC" w:rsidRDefault="00E11AD6" w:rsidP="00513768">
      <w:pPr>
        <w:widowControl w:val="0"/>
        <w:autoSpaceDE w:val="0"/>
        <w:autoSpaceDN w:val="0"/>
        <w:adjustRightInd w:val="0"/>
        <w:jc w:val="both"/>
      </w:pPr>
      <w:r w:rsidRPr="00B058AC">
        <w:rPr>
          <w:i/>
        </w:rPr>
        <w:t>пленочная оболочка № 2:</w:t>
      </w:r>
      <w:r w:rsidRPr="00B058AC">
        <w:t xml:space="preserve"> водная дисперсия этилцеллюлозы для пленочного покрытия, содержащая этилцеллюлозу, аммиака раствор 28 %, триглицериды среднецепоч</w:t>
      </w:r>
      <w:r w:rsidR="00014FD6">
        <w:t>еч</w:t>
      </w:r>
      <w:r w:rsidRPr="00B058AC">
        <w:t>ные, олеиновую кислоту в пересчете на сухое вещество.</w:t>
      </w:r>
    </w:p>
    <w:p w14:paraId="11085B00" w14:textId="77777777" w:rsidR="00E32197" w:rsidRPr="00B058AC" w:rsidRDefault="00E32197" w:rsidP="00513768">
      <w:pPr>
        <w:widowControl w:val="0"/>
        <w:jc w:val="both"/>
        <w:rPr>
          <w:b/>
        </w:rPr>
      </w:pPr>
    </w:p>
    <w:p w14:paraId="0897C806" w14:textId="77777777" w:rsidR="007F5B8D" w:rsidRPr="00B058AC" w:rsidRDefault="007F5B8D" w:rsidP="00513768">
      <w:pPr>
        <w:widowControl w:val="0"/>
        <w:jc w:val="both"/>
        <w:rPr>
          <w:b/>
        </w:rPr>
      </w:pPr>
      <w:r w:rsidRPr="00B058AC">
        <w:rPr>
          <w:b/>
        </w:rPr>
        <w:t>Описание</w:t>
      </w:r>
    </w:p>
    <w:p w14:paraId="41E14A6C" w14:textId="3341376C" w:rsidR="007F5B8D" w:rsidRPr="00B058AC" w:rsidRDefault="00235904" w:rsidP="00513768">
      <w:pPr>
        <w:widowControl w:val="0"/>
        <w:jc w:val="both"/>
      </w:pPr>
      <w:r w:rsidRPr="00B058AC">
        <w:t xml:space="preserve">Продолговатые двояковыпуклые таблетки, покрытые пленочной оболочкой </w:t>
      </w:r>
      <w:r w:rsidR="00E11AD6" w:rsidRPr="00B058AC">
        <w:t xml:space="preserve">от </w:t>
      </w:r>
      <w:r w:rsidRPr="00B058AC">
        <w:t xml:space="preserve">белого </w:t>
      </w:r>
      <w:r w:rsidR="00E11AD6" w:rsidRPr="00B058AC">
        <w:t>до</w:t>
      </w:r>
      <w:r w:rsidRPr="00B058AC">
        <w:t xml:space="preserve"> </w:t>
      </w:r>
      <w:r w:rsidR="00E11AD6" w:rsidRPr="00B058AC">
        <w:t>желтовато-</w:t>
      </w:r>
      <w:r w:rsidRPr="00B058AC">
        <w:t>белого цвета. На поперечном разрезе ядро белого или почти белого цвета.</w:t>
      </w:r>
    </w:p>
    <w:p w14:paraId="7AF0EC92" w14:textId="77777777" w:rsidR="00B7608D" w:rsidRPr="00B058AC" w:rsidRDefault="00B7608D" w:rsidP="00513768">
      <w:pPr>
        <w:widowControl w:val="0"/>
        <w:jc w:val="both"/>
      </w:pPr>
    </w:p>
    <w:p w14:paraId="07B086FE" w14:textId="77777777" w:rsidR="007F5B8D" w:rsidRPr="00B058AC" w:rsidRDefault="007F5B8D" w:rsidP="00513768">
      <w:pPr>
        <w:widowControl w:val="0"/>
        <w:jc w:val="both"/>
        <w:rPr>
          <w:b/>
        </w:rPr>
      </w:pPr>
      <w:r w:rsidRPr="00B058AC">
        <w:rPr>
          <w:b/>
        </w:rPr>
        <w:t>Фармакотерапевтическая группа</w:t>
      </w:r>
    </w:p>
    <w:p w14:paraId="1A376BC2" w14:textId="64FFE933" w:rsidR="007F5B8D" w:rsidRPr="00B058AC" w:rsidRDefault="007F5B8D" w:rsidP="00513768">
      <w:pPr>
        <w:widowControl w:val="0"/>
        <w:jc w:val="both"/>
      </w:pPr>
      <w:r w:rsidRPr="00B058AC">
        <w:t>Антиангинальное средство</w:t>
      </w:r>
      <w:r w:rsidR="00227F05" w:rsidRPr="00B058AC">
        <w:t>.</w:t>
      </w:r>
    </w:p>
    <w:p w14:paraId="5B2DAEC4" w14:textId="77777777" w:rsidR="007F5B8D" w:rsidRPr="00B058AC" w:rsidRDefault="007F5B8D" w:rsidP="00513768">
      <w:pPr>
        <w:widowControl w:val="0"/>
        <w:jc w:val="both"/>
      </w:pPr>
    </w:p>
    <w:p w14:paraId="02968560" w14:textId="77777777" w:rsidR="007F5B8D" w:rsidRPr="00B058AC" w:rsidRDefault="007F5B8D" w:rsidP="00513768">
      <w:pPr>
        <w:widowControl w:val="0"/>
        <w:jc w:val="both"/>
        <w:rPr>
          <w:b/>
        </w:rPr>
      </w:pPr>
      <w:r w:rsidRPr="00B058AC">
        <w:rPr>
          <w:b/>
        </w:rPr>
        <w:t>Код АТХ</w:t>
      </w:r>
    </w:p>
    <w:p w14:paraId="63876421" w14:textId="77777777" w:rsidR="007F5B8D" w:rsidRPr="00B058AC" w:rsidRDefault="007F5B8D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sz w:val="24"/>
          <w:szCs w:val="24"/>
        </w:rPr>
        <w:t>С01ЕВ15</w:t>
      </w:r>
    </w:p>
    <w:p w14:paraId="5C191EEE" w14:textId="77777777" w:rsidR="007F5B8D" w:rsidRPr="00B058AC" w:rsidRDefault="007F5B8D" w:rsidP="00513768"/>
    <w:p w14:paraId="4AC4723E" w14:textId="77777777" w:rsidR="007F5B8D" w:rsidRPr="00B058AC" w:rsidRDefault="007F5B8D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058AC">
        <w:rPr>
          <w:rFonts w:ascii="Times New Roman" w:hAnsi="Times New Roman" w:cs="Times New Roman"/>
          <w:sz w:val="24"/>
          <w:szCs w:val="24"/>
        </w:rPr>
        <w:t>Фармакологические свойства</w:t>
      </w:r>
    </w:p>
    <w:p w14:paraId="6D5F8FEF" w14:textId="77777777" w:rsidR="007F5B8D" w:rsidRPr="00B058AC" w:rsidRDefault="007F5B8D" w:rsidP="00513768">
      <w:pPr>
        <w:widowControl w:val="0"/>
        <w:shd w:val="clear" w:color="auto" w:fill="FFFFFF"/>
        <w:jc w:val="both"/>
        <w:rPr>
          <w:b/>
          <w:i/>
          <w:iCs/>
        </w:rPr>
      </w:pPr>
      <w:r w:rsidRPr="00B058AC">
        <w:rPr>
          <w:b/>
          <w:i/>
          <w:iCs/>
        </w:rPr>
        <w:t>Фармакодинамика</w:t>
      </w:r>
    </w:p>
    <w:p w14:paraId="0621B4BF" w14:textId="77777777" w:rsidR="00FE79A4" w:rsidRPr="00B058AC" w:rsidRDefault="007F5B8D" w:rsidP="00513768">
      <w:pPr>
        <w:rPr>
          <w:i/>
        </w:rPr>
      </w:pPr>
      <w:r w:rsidRPr="00B058AC">
        <w:rPr>
          <w:i/>
        </w:rPr>
        <w:t>Механизм действия</w:t>
      </w:r>
    </w:p>
    <w:p w14:paraId="561FACAC" w14:textId="77777777" w:rsidR="007F5B8D" w:rsidRPr="00B058AC" w:rsidRDefault="007F5B8D" w:rsidP="00513768">
      <w:pPr>
        <w:jc w:val="both"/>
      </w:pPr>
      <w:r w:rsidRPr="00B058AC">
        <w:t xml:space="preserve">Триметазидин предотвращает снижение внутриклеточной концентрации аденозинтрифосфата (АТФ) путем сохранения энергетического метаболизма клеток в состоянии гипоксии. Таким образом, </w:t>
      </w:r>
      <w:r w:rsidR="009156E4" w:rsidRPr="00B058AC">
        <w:t>триметазидин</w:t>
      </w:r>
      <w:r w:rsidRPr="00B058AC">
        <w:t xml:space="preserve"> обеспечивает нормальное функционирование мембранных ионных каналов, трансмембранный перенос ионов калия и натрия и сохранение клеточного гомеостаза.</w:t>
      </w:r>
    </w:p>
    <w:p w14:paraId="46F32476" w14:textId="77777777" w:rsidR="00AF11CE" w:rsidRPr="00B058AC" w:rsidRDefault="007F5B8D" w:rsidP="00513768">
      <w:pPr>
        <w:jc w:val="both"/>
      </w:pPr>
      <w:r w:rsidRPr="00B058AC">
        <w:t>Триметазидин ингибирует окисление жирных кислот за счет селективного ингибирования фермента 3-кетоацил-КоА-тиолазы (3-КАТ) митохондриальной длинноцепочечной изоформы жирных кислот, что приводит к усилению окисления глюкозы и ускорению гликолиза с окислением глюкозы, что и обусловливает защиту миокарда от ишемии. Переключение энергетического метаболизма с окисления жирных кислот на окисление глюкозы лежит в основе фармакологических свойств триметазидин</w:t>
      </w:r>
      <w:r w:rsidR="009156E4" w:rsidRPr="00B058AC">
        <w:t>а.</w:t>
      </w:r>
    </w:p>
    <w:p w14:paraId="18301F8C" w14:textId="124C0203" w:rsidR="007F5B8D" w:rsidRPr="00B058AC" w:rsidRDefault="009156E4" w:rsidP="00513768">
      <w:pPr>
        <w:jc w:val="both"/>
      </w:pPr>
      <w:r w:rsidRPr="00B058AC">
        <w:rPr>
          <w:i/>
        </w:rPr>
        <w:lastRenderedPageBreak/>
        <w:t>Фармакодинамические свойства:</w:t>
      </w:r>
    </w:p>
    <w:p w14:paraId="09370844" w14:textId="77777777" w:rsidR="009156E4" w:rsidRPr="00B058AC" w:rsidRDefault="009156E4" w:rsidP="007953CF">
      <w:pPr>
        <w:pStyle w:val="a3"/>
        <w:numPr>
          <w:ilvl w:val="0"/>
          <w:numId w:val="2"/>
        </w:numPr>
        <w:ind w:left="284" w:hanging="284"/>
        <w:jc w:val="both"/>
      </w:pPr>
      <w:r w:rsidRPr="00B058AC">
        <w:t>п</w:t>
      </w:r>
      <w:r w:rsidR="007F5B8D" w:rsidRPr="00B058AC">
        <w:t>оддерживает энергетический метаболизм сердца и нейросе</w:t>
      </w:r>
      <w:r w:rsidRPr="00B058AC">
        <w:t xml:space="preserve">нсорных тканей во время ишемии; </w:t>
      </w:r>
    </w:p>
    <w:p w14:paraId="1F44DA58" w14:textId="77777777" w:rsidR="009156E4" w:rsidRPr="00B058AC" w:rsidRDefault="007F5B8D" w:rsidP="007953CF">
      <w:pPr>
        <w:pStyle w:val="a3"/>
        <w:numPr>
          <w:ilvl w:val="0"/>
          <w:numId w:val="2"/>
        </w:numPr>
        <w:ind w:left="284" w:hanging="284"/>
        <w:jc w:val="both"/>
      </w:pPr>
      <w:r w:rsidRPr="00B058AC">
        <w:t xml:space="preserve">уменьшает выраженность внутриклеточного ацидоза и изменений трансмембранного ионного потока, возникающих при ишемии; </w:t>
      </w:r>
    </w:p>
    <w:p w14:paraId="2F7919F1" w14:textId="77777777" w:rsidR="009156E4" w:rsidRPr="00B058AC" w:rsidRDefault="007F5B8D" w:rsidP="007953CF">
      <w:pPr>
        <w:pStyle w:val="a3"/>
        <w:numPr>
          <w:ilvl w:val="0"/>
          <w:numId w:val="2"/>
        </w:numPr>
        <w:ind w:left="284" w:hanging="284"/>
        <w:jc w:val="both"/>
      </w:pPr>
      <w:r w:rsidRPr="00B058AC">
        <w:t>понижает уровень миграции и инфильтрации полинуклеарных нейтрофилов в ишемизированных и реперфузированных тканях сердца;</w:t>
      </w:r>
    </w:p>
    <w:p w14:paraId="53E50053" w14:textId="77777777" w:rsidR="009156E4" w:rsidRPr="00B058AC" w:rsidRDefault="007F5B8D" w:rsidP="007953CF">
      <w:pPr>
        <w:pStyle w:val="a3"/>
        <w:numPr>
          <w:ilvl w:val="0"/>
          <w:numId w:val="2"/>
        </w:numPr>
        <w:ind w:left="284" w:hanging="284"/>
        <w:jc w:val="both"/>
      </w:pPr>
      <w:r w:rsidRPr="00B058AC">
        <w:t>уменьшает размер повреждения миокарда;</w:t>
      </w:r>
    </w:p>
    <w:p w14:paraId="134A5ED3" w14:textId="77777777" w:rsidR="009156E4" w:rsidRPr="00B058AC" w:rsidRDefault="007F5B8D" w:rsidP="007953CF">
      <w:pPr>
        <w:pStyle w:val="a3"/>
        <w:numPr>
          <w:ilvl w:val="0"/>
          <w:numId w:val="2"/>
        </w:numPr>
        <w:ind w:left="284" w:hanging="284"/>
        <w:jc w:val="both"/>
      </w:pPr>
      <w:r w:rsidRPr="00B058AC">
        <w:t xml:space="preserve">не оказывает прямого воздействия на показатели гемодинамики. </w:t>
      </w:r>
    </w:p>
    <w:p w14:paraId="272482FF" w14:textId="77777777" w:rsidR="007F5B8D" w:rsidRPr="00B058AC" w:rsidRDefault="007F5B8D" w:rsidP="00513768">
      <w:pPr>
        <w:jc w:val="both"/>
      </w:pPr>
      <w:r w:rsidRPr="00B058AC">
        <w:t>У пациентов со стенокардией триметазидин:</w:t>
      </w:r>
    </w:p>
    <w:p w14:paraId="3EC228E9" w14:textId="77777777" w:rsidR="009156E4" w:rsidRPr="00B058AC" w:rsidRDefault="007F5B8D" w:rsidP="007953CF">
      <w:pPr>
        <w:pStyle w:val="a3"/>
        <w:numPr>
          <w:ilvl w:val="0"/>
          <w:numId w:val="3"/>
        </w:numPr>
        <w:ind w:left="284" w:hanging="284"/>
        <w:jc w:val="both"/>
      </w:pPr>
      <w:r w:rsidRPr="00B058AC">
        <w:t>увеличивает коронарный резерв, тем самым замедляя наступление ишемии, вызванной физической нагрузкой, начиная с 15-го дня терапии;</w:t>
      </w:r>
    </w:p>
    <w:p w14:paraId="39A835EE" w14:textId="77777777" w:rsidR="009156E4" w:rsidRPr="00B058AC" w:rsidRDefault="007F5B8D" w:rsidP="007953CF">
      <w:pPr>
        <w:pStyle w:val="a3"/>
        <w:numPr>
          <w:ilvl w:val="0"/>
          <w:numId w:val="3"/>
        </w:numPr>
        <w:ind w:left="284" w:hanging="284"/>
        <w:jc w:val="both"/>
      </w:pPr>
      <w:r w:rsidRPr="00B058AC">
        <w:t>ограничивает колебания артериального давления, вызванные физической нагрузкой, без значительных изменений частоты сердечных сокращений;</w:t>
      </w:r>
    </w:p>
    <w:p w14:paraId="0529C9A6" w14:textId="77777777" w:rsidR="009156E4" w:rsidRPr="00B058AC" w:rsidRDefault="007F5B8D" w:rsidP="007953CF">
      <w:pPr>
        <w:pStyle w:val="a3"/>
        <w:numPr>
          <w:ilvl w:val="0"/>
          <w:numId w:val="3"/>
        </w:numPr>
        <w:ind w:left="284" w:hanging="284"/>
        <w:jc w:val="both"/>
      </w:pPr>
      <w:r w:rsidRPr="00B058AC">
        <w:t>значительно снижает частоту приступов стенокардии и потребность в при</w:t>
      </w:r>
      <w:r w:rsidR="009156E4" w:rsidRPr="00B058AC">
        <w:t>е</w:t>
      </w:r>
      <w:r w:rsidRPr="00B058AC">
        <w:t>ме нитроглицерина короткого действия;</w:t>
      </w:r>
    </w:p>
    <w:p w14:paraId="2F29A525" w14:textId="77777777" w:rsidR="007F5B8D" w:rsidRPr="00B058AC" w:rsidRDefault="007F5B8D" w:rsidP="007953CF">
      <w:pPr>
        <w:pStyle w:val="a3"/>
        <w:numPr>
          <w:ilvl w:val="0"/>
          <w:numId w:val="3"/>
        </w:numPr>
        <w:ind w:left="284" w:hanging="284"/>
        <w:jc w:val="both"/>
      </w:pPr>
      <w:r w:rsidRPr="00B058AC">
        <w:t>улучшает сократительную функцию левого желудочка у пациентов с ишемической дисфункцией.</w:t>
      </w:r>
    </w:p>
    <w:p w14:paraId="6BB14CFD" w14:textId="77777777" w:rsidR="007F5B8D" w:rsidRPr="00B058AC" w:rsidRDefault="007F5B8D" w:rsidP="00513768">
      <w:pPr>
        <w:jc w:val="both"/>
      </w:pPr>
      <w:r w:rsidRPr="00B058AC">
        <w:t>Результаты проведенных клинических исследований подтвердили эффективность и безопасность применения триметазидина у пациентов со стабильной стенокардией, как в монотерапии, так и в составе комбинированной терапии при недостаточном эффекте других антиангинальных препаратов.</w:t>
      </w:r>
    </w:p>
    <w:p w14:paraId="0BE369DE" w14:textId="1CCFC758" w:rsidR="007F5B8D" w:rsidRPr="00B058AC" w:rsidRDefault="007F5B8D" w:rsidP="00513768">
      <w:pPr>
        <w:jc w:val="both"/>
      </w:pPr>
      <w:r w:rsidRPr="00B058AC">
        <w:t>В исследовании с участием 426 пацие</w:t>
      </w:r>
      <w:r w:rsidR="00566249">
        <w:t>нтов со стабильной стенокардией</w:t>
      </w:r>
      <w:r w:rsidRPr="00B058AC">
        <w:t xml:space="preserve"> добавление триметазидина (60</w:t>
      </w:r>
      <w:r w:rsidR="008576A1">
        <w:t> </w:t>
      </w:r>
      <w:r w:rsidRPr="00B058AC">
        <w:t>мг/сут) к терапии метопрололом 100</w:t>
      </w:r>
      <w:r w:rsidR="008576A1">
        <w:t> </w:t>
      </w:r>
      <w:r w:rsidRPr="00B058AC">
        <w:t>мг/сут (50</w:t>
      </w:r>
      <w:r w:rsidR="008576A1">
        <w:t> </w:t>
      </w:r>
      <w:r w:rsidRPr="00B058AC">
        <w:t>мг 2 раза/сутки) в течение 12 недель статистически достоверно улучшило результаты нагрузочных тестов и клинические симптомы по сравнению с плацебо: общая длительность нагрузочных тестов</w:t>
      </w:r>
      <w:r w:rsidR="00EA0DB9">
        <w:t>,</w:t>
      </w:r>
      <w:r w:rsidRPr="00B058AC">
        <w:t xml:space="preserve"> общее время выполнения нагрузки</w:t>
      </w:r>
      <w:r w:rsidR="00EA0DB9">
        <w:t>,</w:t>
      </w:r>
      <w:r w:rsidRPr="00B058AC">
        <w:t xml:space="preserve"> время до развития депрессии сегмента ST на 1</w:t>
      </w:r>
      <w:r w:rsidR="008576A1">
        <w:t> </w:t>
      </w:r>
      <w:r w:rsidRPr="00B058AC">
        <w:t>мм, время до развития приступа стенокардии, количество приступов стенокардии в неделю и потребление нитратов короткого действия в неделю, без гемодинамических изменений.</w:t>
      </w:r>
    </w:p>
    <w:p w14:paraId="2E61291D" w14:textId="6709E2B6" w:rsidR="007F5B8D" w:rsidRPr="00B058AC" w:rsidRDefault="007F5B8D" w:rsidP="00513768">
      <w:pPr>
        <w:jc w:val="both"/>
      </w:pPr>
      <w:r w:rsidRPr="00B058AC">
        <w:t>В исследовании с участием 223 пацие</w:t>
      </w:r>
      <w:r w:rsidR="00566249">
        <w:t>нтов со стабильной стенокардией</w:t>
      </w:r>
      <w:r w:rsidRPr="00B058AC">
        <w:t xml:space="preserve"> добавление триметазидина в дозе 35</w:t>
      </w:r>
      <w:r w:rsidR="008576A1">
        <w:t> </w:t>
      </w:r>
      <w:r w:rsidRPr="00B058AC">
        <w:t>мг (2</w:t>
      </w:r>
      <w:r w:rsidR="008576A1">
        <w:t> </w:t>
      </w:r>
      <w:r w:rsidRPr="00B058AC">
        <w:t>раза/сутки) к терапии атенололом в дозе 50</w:t>
      </w:r>
      <w:r w:rsidR="008576A1">
        <w:t> </w:t>
      </w:r>
      <w:r w:rsidRPr="00B058AC">
        <w:t>мг (1</w:t>
      </w:r>
      <w:r w:rsidR="008576A1">
        <w:t> </w:t>
      </w:r>
      <w:r w:rsidRPr="00B058AC">
        <w:t>раз/сутки) в течение 8 недель приводило к увеличению времени до развития ишемической депрессии сегмента ST на 1</w:t>
      </w:r>
      <w:r w:rsidR="008576A1">
        <w:t> </w:t>
      </w:r>
      <w:r w:rsidRPr="00B058AC">
        <w:t>мм при проведении нагрузочных тестов в подгруппе пациентов по сравнению с плацебо</w:t>
      </w:r>
      <w:r w:rsidR="00095BC2" w:rsidRPr="00B058AC">
        <w:t xml:space="preserve">. Существенная разница также была показана для времени развития приступов стенокардии. </w:t>
      </w:r>
      <w:r w:rsidRPr="00B058AC">
        <w:t>Не выявлено достоверных различий между группами для других вторичных конечных точек (общая длительность нагрузочных тестов, общее время нагрузки и клинические конечные точки).</w:t>
      </w:r>
    </w:p>
    <w:p w14:paraId="6073119A" w14:textId="434240E5" w:rsidR="007F5B8D" w:rsidRPr="00B058AC" w:rsidRDefault="007F5B8D" w:rsidP="00513768">
      <w:pPr>
        <w:jc w:val="both"/>
      </w:pPr>
      <w:r w:rsidRPr="00B058AC">
        <w:t>В исследовании с участием 1962 пациентов со стабильной стенокардией триметазидин в двух дозировках (70</w:t>
      </w:r>
      <w:r w:rsidR="008576A1">
        <w:t> </w:t>
      </w:r>
      <w:r w:rsidRPr="00B058AC">
        <w:t>мг/сут и 140</w:t>
      </w:r>
      <w:r w:rsidR="008576A1">
        <w:t> </w:t>
      </w:r>
      <w:r w:rsidRPr="00B058AC">
        <w:t>мг/сут) в сравнении с плацебо был добавлен к терапии атенололом 50</w:t>
      </w:r>
      <w:r w:rsidR="008576A1">
        <w:t> </w:t>
      </w:r>
      <w:r w:rsidRPr="00B058AC">
        <w:t>мг/сут. В общей популяции, включая пациентов, как без симптомов, так и с симптомами стенокардии, триметазидин не продемонстрировал преимуществ по эргометрическим и клиническим конечным точкам. Однако, в ретроспективном анализе в подгруппе пацие</w:t>
      </w:r>
      <w:r w:rsidR="009D576A" w:rsidRPr="00B058AC">
        <w:t>нтов с симптомами стенокардии</w:t>
      </w:r>
      <w:r w:rsidRPr="00B058AC">
        <w:t>, триметазидин (140</w:t>
      </w:r>
      <w:r w:rsidR="008576A1">
        <w:t> </w:t>
      </w:r>
      <w:r w:rsidRPr="00B058AC">
        <w:t>мг) значительно улучшил общее время нагрузочного теста и время до развития приступа стенокардии.</w:t>
      </w:r>
    </w:p>
    <w:p w14:paraId="39773981" w14:textId="77777777" w:rsidR="009D576A" w:rsidRPr="00B058AC" w:rsidRDefault="009D576A" w:rsidP="00513768">
      <w:pPr>
        <w:jc w:val="both"/>
        <w:rPr>
          <w:b/>
          <w:i/>
          <w:iCs/>
        </w:rPr>
      </w:pPr>
      <w:r w:rsidRPr="00B058AC">
        <w:rPr>
          <w:b/>
          <w:i/>
          <w:iCs/>
        </w:rPr>
        <w:t>Фармакокинетика</w:t>
      </w:r>
    </w:p>
    <w:p w14:paraId="2DE5EDAB" w14:textId="77777777" w:rsidR="009D576A" w:rsidRPr="00B058AC" w:rsidRDefault="009D576A" w:rsidP="00513768">
      <w:pPr>
        <w:keepNext/>
        <w:jc w:val="both"/>
        <w:rPr>
          <w:i/>
        </w:rPr>
      </w:pPr>
      <w:r w:rsidRPr="00B058AC">
        <w:rPr>
          <w:i/>
        </w:rPr>
        <w:t>Всасывание</w:t>
      </w:r>
    </w:p>
    <w:p w14:paraId="68DB90DC" w14:textId="2B4ED4A6" w:rsidR="009D576A" w:rsidRPr="00B058AC" w:rsidRDefault="009D576A" w:rsidP="00513768">
      <w:pPr>
        <w:jc w:val="both"/>
      </w:pPr>
      <w:r w:rsidRPr="00B058AC">
        <w:t>После приема внутрь, триметазидин имеет линейный фармакокинетический профиль и достигает максимальной концентрации в плазме</w:t>
      </w:r>
      <w:r w:rsidR="008F6FE4" w:rsidRPr="002F5C5D">
        <w:t xml:space="preserve"> </w:t>
      </w:r>
      <w:r w:rsidR="008F6FE4">
        <w:t>крови</w:t>
      </w:r>
      <w:r w:rsidRPr="00B058AC">
        <w:t xml:space="preserve"> примерно через 14 часов после прие</w:t>
      </w:r>
      <w:r w:rsidR="00CF1222" w:rsidRPr="00B058AC">
        <w:t xml:space="preserve">ма. В интервалах между приемами </w:t>
      </w:r>
      <w:r w:rsidRPr="00B058AC">
        <w:t xml:space="preserve">(т.е. в течение 24 часов) концентрация </w:t>
      </w:r>
      <w:r w:rsidRPr="00B058AC">
        <w:lastRenderedPageBreak/>
        <w:t>триметазидина в плазме крови на протяжении 15 часов после приема сохраняется на уровне не менее 75</w:t>
      </w:r>
      <w:r w:rsidR="008576A1">
        <w:t> </w:t>
      </w:r>
      <w:r w:rsidRPr="00B058AC">
        <w:t>% от максимальной концентрации.</w:t>
      </w:r>
    </w:p>
    <w:p w14:paraId="4A513CA9" w14:textId="77777777" w:rsidR="00237C9C" w:rsidRPr="00B058AC" w:rsidRDefault="009D576A" w:rsidP="00513768">
      <w:pPr>
        <w:pStyle w:val="a4"/>
        <w:keepNext/>
        <w:spacing w:line="240" w:lineRule="auto"/>
        <w:jc w:val="both"/>
        <w:rPr>
          <w:szCs w:val="24"/>
        </w:rPr>
      </w:pPr>
      <w:r w:rsidRPr="00B058AC">
        <w:rPr>
          <w:szCs w:val="24"/>
        </w:rPr>
        <w:t>Равновесное состо</w:t>
      </w:r>
      <w:r w:rsidR="00237C9C" w:rsidRPr="00B058AC">
        <w:rPr>
          <w:szCs w:val="24"/>
        </w:rPr>
        <w:t>яние достигается после приема 3</w:t>
      </w:r>
      <w:r w:rsidRPr="00B058AC">
        <w:rPr>
          <w:szCs w:val="24"/>
        </w:rPr>
        <w:t xml:space="preserve">-й дозы (через 3 суток). Прием пищи не влияет на биодоступность триметазидина. </w:t>
      </w:r>
    </w:p>
    <w:p w14:paraId="2990F916" w14:textId="77777777" w:rsidR="009D576A" w:rsidRPr="00B058AC" w:rsidRDefault="00237C9C" w:rsidP="00513768">
      <w:pPr>
        <w:pStyle w:val="a4"/>
        <w:keepNext/>
        <w:spacing w:line="240" w:lineRule="auto"/>
        <w:jc w:val="both"/>
        <w:rPr>
          <w:i/>
          <w:color w:val="auto"/>
          <w:szCs w:val="24"/>
        </w:rPr>
      </w:pPr>
      <w:r w:rsidRPr="00B058AC">
        <w:rPr>
          <w:i/>
          <w:color w:val="auto"/>
          <w:szCs w:val="24"/>
        </w:rPr>
        <w:t>Распределение</w:t>
      </w:r>
    </w:p>
    <w:p w14:paraId="39B084BA" w14:textId="7C2B5E2F" w:rsidR="00237C9C" w:rsidRPr="00B058AC" w:rsidRDefault="009D576A" w:rsidP="00513768">
      <w:pPr>
        <w:jc w:val="both"/>
      </w:pPr>
      <w:r w:rsidRPr="00B058AC">
        <w:t>Объем распределения составляет 4,8</w:t>
      </w:r>
      <w:r w:rsidR="008576A1">
        <w:t> </w:t>
      </w:r>
      <w:r w:rsidRPr="00B058AC">
        <w:t>л/кг, что свидетельствует о хорошем распределении триметазидина в тканях (степень связывания с белками плазмы крови достаточно низкая, около 16</w:t>
      </w:r>
      <w:r w:rsidR="008576A1">
        <w:t> </w:t>
      </w:r>
      <w:r w:rsidRPr="00B058AC">
        <w:t xml:space="preserve">% </w:t>
      </w:r>
      <w:r w:rsidRPr="002F5C5D">
        <w:rPr>
          <w:i/>
        </w:rPr>
        <w:t>in vitro</w:t>
      </w:r>
      <w:r w:rsidRPr="00B058AC">
        <w:t xml:space="preserve">). </w:t>
      </w:r>
    </w:p>
    <w:p w14:paraId="43E0B534" w14:textId="77777777" w:rsidR="00237C9C" w:rsidRPr="00B058AC" w:rsidRDefault="00237C9C" w:rsidP="00513768">
      <w:pPr>
        <w:pStyle w:val="a4"/>
        <w:keepNext/>
        <w:spacing w:line="240" w:lineRule="auto"/>
        <w:jc w:val="both"/>
        <w:rPr>
          <w:i/>
          <w:color w:val="auto"/>
          <w:szCs w:val="24"/>
        </w:rPr>
      </w:pPr>
      <w:r w:rsidRPr="00B058AC">
        <w:rPr>
          <w:i/>
          <w:color w:val="auto"/>
          <w:szCs w:val="24"/>
        </w:rPr>
        <w:t>Выведение</w:t>
      </w:r>
    </w:p>
    <w:p w14:paraId="1E94595E" w14:textId="3E69E742" w:rsidR="009D576A" w:rsidRPr="00B058AC" w:rsidRDefault="009D576A" w:rsidP="00513768">
      <w:pPr>
        <w:jc w:val="both"/>
      </w:pPr>
      <w:r w:rsidRPr="00B058AC">
        <w:t>Триметазидин выводится в основном почками, главным образом, в неизмененном виде. Период полувыведения у молодых здоровых добровольцев около 7</w:t>
      </w:r>
      <w:r w:rsidR="008576A1">
        <w:t> </w:t>
      </w:r>
      <w:r w:rsidRPr="00B058AC">
        <w:t xml:space="preserve">ч, у пациентов старше 65 лет </w:t>
      </w:r>
      <w:r w:rsidR="00323BEA">
        <w:t>–</w:t>
      </w:r>
      <w:r w:rsidRPr="00B058AC">
        <w:t xml:space="preserve"> около 12</w:t>
      </w:r>
      <w:r w:rsidR="008576A1">
        <w:t> </w:t>
      </w:r>
      <w:r w:rsidRPr="00B058AC">
        <w:t>ч.</w:t>
      </w:r>
    </w:p>
    <w:p w14:paraId="3C353DF2" w14:textId="77777777" w:rsidR="009D576A" w:rsidRPr="00B058AC" w:rsidRDefault="009D576A" w:rsidP="00513768">
      <w:pPr>
        <w:jc w:val="both"/>
      </w:pPr>
      <w:r w:rsidRPr="00B058AC">
        <w:t>Почечный клиренс триметазидина прямо коррелирует с клиренсом креатинина (КК), печеночный клиренс снижается с возрастом пациента.</w:t>
      </w:r>
    </w:p>
    <w:p w14:paraId="5B7E9ECB" w14:textId="77777777" w:rsidR="009D576A" w:rsidRPr="00B058AC" w:rsidRDefault="009D576A" w:rsidP="00513768">
      <w:pPr>
        <w:pStyle w:val="a4"/>
        <w:keepNext/>
        <w:spacing w:line="240" w:lineRule="auto"/>
        <w:jc w:val="both"/>
        <w:rPr>
          <w:b/>
          <w:i/>
          <w:color w:val="auto"/>
          <w:szCs w:val="24"/>
        </w:rPr>
      </w:pPr>
      <w:r w:rsidRPr="00B058AC">
        <w:rPr>
          <w:b/>
          <w:i/>
          <w:color w:val="auto"/>
          <w:szCs w:val="24"/>
        </w:rPr>
        <w:t>Фармакокинетика у особых групп пациентов</w:t>
      </w:r>
    </w:p>
    <w:p w14:paraId="239EC97C" w14:textId="77777777" w:rsidR="009D576A" w:rsidRPr="00B058AC" w:rsidRDefault="009D576A" w:rsidP="00513768">
      <w:pPr>
        <w:pStyle w:val="a4"/>
        <w:keepNext/>
        <w:spacing w:line="240" w:lineRule="auto"/>
        <w:jc w:val="both"/>
        <w:rPr>
          <w:i/>
          <w:color w:val="auto"/>
          <w:szCs w:val="24"/>
        </w:rPr>
      </w:pPr>
      <w:r w:rsidRPr="00B058AC">
        <w:rPr>
          <w:i/>
          <w:color w:val="auto"/>
          <w:szCs w:val="24"/>
        </w:rPr>
        <w:t>Пациенты пожилого возраста</w:t>
      </w:r>
    </w:p>
    <w:p w14:paraId="0A40B1EF" w14:textId="036001D2" w:rsidR="008F6FE4" w:rsidRDefault="008F6FE4" w:rsidP="00513768">
      <w:pPr>
        <w:pStyle w:val="a4"/>
        <w:keepNext/>
        <w:spacing w:line="24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Спец</w:t>
      </w:r>
      <w:r w:rsidR="00562560">
        <w:rPr>
          <w:color w:val="auto"/>
          <w:szCs w:val="24"/>
        </w:rPr>
        <w:t>иальное клиническое исследование</w:t>
      </w:r>
      <w:r>
        <w:rPr>
          <w:color w:val="auto"/>
          <w:szCs w:val="24"/>
        </w:rPr>
        <w:t>, проведенно</w:t>
      </w:r>
      <w:r w:rsidR="00562560">
        <w:rPr>
          <w:color w:val="auto"/>
          <w:szCs w:val="24"/>
        </w:rPr>
        <w:t>е</w:t>
      </w:r>
      <w:r>
        <w:rPr>
          <w:color w:val="auto"/>
          <w:szCs w:val="24"/>
        </w:rPr>
        <w:t xml:space="preserve"> в популяции пожилых пациентов с применением дозы </w:t>
      </w:r>
      <w:r w:rsidR="006069E5">
        <w:rPr>
          <w:color w:val="auto"/>
          <w:szCs w:val="24"/>
        </w:rPr>
        <w:t>триметазидина</w:t>
      </w:r>
      <w:r>
        <w:rPr>
          <w:color w:val="auto"/>
          <w:szCs w:val="24"/>
        </w:rPr>
        <w:t xml:space="preserve"> МВ 35</w:t>
      </w:r>
      <w:r w:rsidR="00FB74D1">
        <w:rPr>
          <w:color w:val="auto"/>
          <w:szCs w:val="24"/>
        </w:rPr>
        <w:t> </w:t>
      </w:r>
      <w:r>
        <w:rPr>
          <w:color w:val="auto"/>
          <w:szCs w:val="24"/>
        </w:rPr>
        <w:t>мг по 2 таблетки в сутки (в 2 приема), показало повышение уровня триметазидина в плазме по данным популяционного фармакокинетического анализа.</w:t>
      </w:r>
    </w:p>
    <w:p w14:paraId="2E7D88FB" w14:textId="5C58F2A2" w:rsidR="006069E5" w:rsidRDefault="00237C9C" w:rsidP="00513768">
      <w:pPr>
        <w:pStyle w:val="a4"/>
        <w:keepNext/>
        <w:spacing w:line="240" w:lineRule="auto"/>
        <w:jc w:val="both"/>
        <w:rPr>
          <w:color w:val="auto"/>
          <w:szCs w:val="24"/>
        </w:rPr>
      </w:pPr>
      <w:r w:rsidRPr="00B058AC">
        <w:rPr>
          <w:color w:val="auto"/>
          <w:szCs w:val="24"/>
        </w:rPr>
        <w:t xml:space="preserve">У пациентов </w:t>
      </w:r>
      <w:r w:rsidR="008F6FE4">
        <w:rPr>
          <w:color w:val="auto"/>
          <w:szCs w:val="24"/>
        </w:rPr>
        <w:t>пожилого возраста</w:t>
      </w:r>
      <w:r w:rsidRPr="00B058AC">
        <w:rPr>
          <w:color w:val="auto"/>
          <w:szCs w:val="24"/>
        </w:rPr>
        <w:t xml:space="preserve"> может наблюдаться повышенная экспозиция триметазидина из-за возрастного снижения функции почек. </w:t>
      </w:r>
      <w:r w:rsidR="006069E5">
        <w:rPr>
          <w:color w:val="auto"/>
          <w:szCs w:val="24"/>
        </w:rPr>
        <w:t>С</w:t>
      </w:r>
      <w:r w:rsidRPr="00B058AC">
        <w:rPr>
          <w:color w:val="auto"/>
          <w:szCs w:val="24"/>
        </w:rPr>
        <w:t>пециальное</w:t>
      </w:r>
      <w:r w:rsidR="006069E5">
        <w:rPr>
          <w:color w:val="auto"/>
          <w:szCs w:val="24"/>
        </w:rPr>
        <w:t xml:space="preserve"> фармакокинетическое</w:t>
      </w:r>
      <w:r w:rsidRPr="00B058AC">
        <w:rPr>
          <w:color w:val="auto"/>
          <w:szCs w:val="24"/>
        </w:rPr>
        <w:t xml:space="preserve"> исследование </w:t>
      </w:r>
      <w:r w:rsidR="006069E5">
        <w:rPr>
          <w:color w:val="auto"/>
          <w:szCs w:val="24"/>
        </w:rPr>
        <w:t>с участием пожилых пациентов (75-84 лет) или очень пожилых (</w:t>
      </w:r>
      <w:r w:rsidR="006069E5" w:rsidRPr="00B058AC">
        <w:t>≥</w:t>
      </w:r>
      <w:r w:rsidR="006069E5">
        <w:t xml:space="preserve"> 85 лет) пациентов показало, что умеренное нарушение функции почек </w:t>
      </w:r>
      <w:r w:rsidR="00FB74D1">
        <w:br/>
      </w:r>
      <w:r w:rsidR="006069E5">
        <w:t>(КК 30-60 мл/мин) повышало экспозицию триметазидина в 1,0 и 1,3 раза, соответственно, по сравнению с более молодыми пац</w:t>
      </w:r>
      <w:r w:rsidR="00562560">
        <w:t>иентами (30-65 лет) с умеренным нарушением</w:t>
      </w:r>
      <w:r w:rsidR="006069E5">
        <w:t xml:space="preserve"> функции почек.</w:t>
      </w:r>
    </w:p>
    <w:p w14:paraId="44C00E06" w14:textId="77777777" w:rsidR="00237C9C" w:rsidRPr="00B058AC" w:rsidRDefault="009D576A" w:rsidP="00513768">
      <w:pPr>
        <w:pStyle w:val="a4"/>
        <w:keepNext/>
        <w:spacing w:line="240" w:lineRule="auto"/>
        <w:jc w:val="both"/>
        <w:rPr>
          <w:i/>
          <w:color w:val="auto"/>
          <w:szCs w:val="24"/>
        </w:rPr>
      </w:pPr>
      <w:r w:rsidRPr="00B058AC">
        <w:rPr>
          <w:i/>
          <w:color w:val="auto"/>
          <w:szCs w:val="24"/>
        </w:rPr>
        <w:t>Пациенты с нарушением функции почек</w:t>
      </w:r>
    </w:p>
    <w:p w14:paraId="33DC59A4" w14:textId="1B729393" w:rsidR="006069E5" w:rsidRDefault="00237C9C" w:rsidP="00513768">
      <w:pPr>
        <w:pStyle w:val="a4"/>
        <w:keepNext/>
        <w:spacing w:line="240" w:lineRule="auto"/>
        <w:jc w:val="both"/>
        <w:rPr>
          <w:bCs/>
          <w:szCs w:val="24"/>
        </w:rPr>
      </w:pPr>
      <w:r w:rsidRPr="00B058AC">
        <w:rPr>
          <w:bCs/>
          <w:szCs w:val="24"/>
        </w:rPr>
        <w:t xml:space="preserve">Экспозиция триметазидина в среднем была увеличена в </w:t>
      </w:r>
      <w:r w:rsidR="00744E1A" w:rsidRPr="00B058AC">
        <w:rPr>
          <w:bCs/>
          <w:szCs w:val="24"/>
        </w:rPr>
        <w:t>1</w:t>
      </w:r>
      <w:r w:rsidRPr="00B058AC">
        <w:rPr>
          <w:bCs/>
          <w:szCs w:val="24"/>
        </w:rPr>
        <w:t>,</w:t>
      </w:r>
      <w:r w:rsidR="00744E1A" w:rsidRPr="00B058AC">
        <w:rPr>
          <w:bCs/>
          <w:szCs w:val="24"/>
        </w:rPr>
        <w:t>7</w:t>
      </w:r>
      <w:r w:rsidRPr="00B058AC">
        <w:rPr>
          <w:bCs/>
          <w:szCs w:val="24"/>
        </w:rPr>
        <w:t xml:space="preserve"> раза у пациентов с </w:t>
      </w:r>
      <w:r w:rsidR="006069E5">
        <w:rPr>
          <w:bCs/>
          <w:szCs w:val="24"/>
        </w:rPr>
        <w:t>умеренным нарушением функции почек</w:t>
      </w:r>
      <w:r w:rsidR="006069E5" w:rsidRPr="00B058AC">
        <w:rPr>
          <w:bCs/>
          <w:szCs w:val="24"/>
        </w:rPr>
        <w:t xml:space="preserve"> </w:t>
      </w:r>
      <w:r w:rsidRPr="00B058AC">
        <w:rPr>
          <w:bCs/>
          <w:szCs w:val="24"/>
        </w:rPr>
        <w:t>(КК 30-60</w:t>
      </w:r>
      <w:r w:rsidR="008576A1">
        <w:rPr>
          <w:bCs/>
          <w:szCs w:val="24"/>
        </w:rPr>
        <w:t> </w:t>
      </w:r>
      <w:r w:rsidRPr="00B058AC">
        <w:rPr>
          <w:bCs/>
          <w:szCs w:val="24"/>
        </w:rPr>
        <w:t xml:space="preserve">мл/мин), и в среднем в </w:t>
      </w:r>
      <w:r w:rsidR="00744E1A" w:rsidRPr="00B058AC">
        <w:rPr>
          <w:bCs/>
          <w:szCs w:val="24"/>
        </w:rPr>
        <w:t>3,1</w:t>
      </w:r>
      <w:r w:rsidRPr="00B058AC">
        <w:rPr>
          <w:bCs/>
          <w:szCs w:val="24"/>
        </w:rPr>
        <w:t xml:space="preserve"> раза </w:t>
      </w:r>
      <w:r w:rsidR="00807BAD">
        <w:rPr>
          <w:bCs/>
          <w:szCs w:val="24"/>
        </w:rPr>
        <w:t>–</w:t>
      </w:r>
      <w:r w:rsidRPr="00B058AC">
        <w:rPr>
          <w:bCs/>
          <w:szCs w:val="24"/>
        </w:rPr>
        <w:t xml:space="preserve"> у пациентов с тяжелой почечной </w:t>
      </w:r>
      <w:r w:rsidR="006069E5" w:rsidRPr="00B058AC">
        <w:rPr>
          <w:bCs/>
          <w:szCs w:val="24"/>
        </w:rPr>
        <w:t>недостаточност</w:t>
      </w:r>
      <w:r w:rsidR="006069E5">
        <w:rPr>
          <w:bCs/>
          <w:szCs w:val="24"/>
        </w:rPr>
        <w:t>ью</w:t>
      </w:r>
      <w:r w:rsidR="006069E5" w:rsidRPr="00B058AC">
        <w:rPr>
          <w:bCs/>
          <w:szCs w:val="24"/>
        </w:rPr>
        <w:t xml:space="preserve"> </w:t>
      </w:r>
      <w:r w:rsidRPr="00B058AC">
        <w:rPr>
          <w:bCs/>
          <w:szCs w:val="24"/>
        </w:rPr>
        <w:t xml:space="preserve">(КК </w:t>
      </w:r>
      <w:r w:rsidR="006069E5">
        <w:rPr>
          <w:bCs/>
          <w:szCs w:val="24"/>
        </w:rPr>
        <w:t>ниже</w:t>
      </w:r>
      <w:r w:rsidR="006069E5" w:rsidRPr="00B058AC">
        <w:rPr>
          <w:bCs/>
          <w:szCs w:val="24"/>
        </w:rPr>
        <w:t xml:space="preserve"> </w:t>
      </w:r>
      <w:r w:rsidRPr="00B058AC">
        <w:rPr>
          <w:bCs/>
          <w:szCs w:val="24"/>
        </w:rPr>
        <w:t>30</w:t>
      </w:r>
      <w:r w:rsidR="008576A1">
        <w:rPr>
          <w:bCs/>
          <w:szCs w:val="24"/>
        </w:rPr>
        <w:t> </w:t>
      </w:r>
      <w:r w:rsidRPr="00B058AC">
        <w:rPr>
          <w:bCs/>
          <w:szCs w:val="24"/>
        </w:rPr>
        <w:t xml:space="preserve">мл/мин) по сравнению со здоровыми добровольцами с нормальной функцией почек. </w:t>
      </w:r>
    </w:p>
    <w:p w14:paraId="16E6C670" w14:textId="2767BB9A" w:rsidR="009D576A" w:rsidRPr="00B058AC" w:rsidRDefault="00237C9C" w:rsidP="00513768">
      <w:pPr>
        <w:pStyle w:val="a4"/>
        <w:keepNext/>
        <w:spacing w:line="240" w:lineRule="auto"/>
        <w:jc w:val="both"/>
        <w:rPr>
          <w:bCs/>
          <w:szCs w:val="24"/>
        </w:rPr>
      </w:pPr>
      <w:r w:rsidRPr="00B058AC">
        <w:rPr>
          <w:bCs/>
          <w:szCs w:val="24"/>
        </w:rPr>
        <w:t>Никаких особенностей касательно безопасности у этой популяции пациентов в сравнении с общей популяцией обнаружено не было.</w:t>
      </w:r>
    </w:p>
    <w:p w14:paraId="2E576A64" w14:textId="1594209B" w:rsidR="00237C9C" w:rsidRPr="00B058AC" w:rsidRDefault="00237C9C" w:rsidP="00513768">
      <w:pPr>
        <w:pStyle w:val="a4"/>
        <w:keepNext/>
        <w:spacing w:line="240" w:lineRule="auto"/>
        <w:jc w:val="both"/>
        <w:rPr>
          <w:i/>
          <w:color w:val="auto"/>
          <w:szCs w:val="24"/>
        </w:rPr>
      </w:pPr>
      <w:r w:rsidRPr="00B058AC">
        <w:rPr>
          <w:i/>
          <w:color w:val="auto"/>
          <w:szCs w:val="24"/>
        </w:rPr>
        <w:t xml:space="preserve">Пациенты </w:t>
      </w:r>
      <w:r w:rsidR="00273AF6" w:rsidRPr="00B058AC">
        <w:rPr>
          <w:i/>
          <w:color w:val="auto"/>
          <w:szCs w:val="24"/>
        </w:rPr>
        <w:t>детского</w:t>
      </w:r>
      <w:r w:rsidR="00273AF6">
        <w:rPr>
          <w:i/>
          <w:color w:val="auto"/>
          <w:szCs w:val="24"/>
        </w:rPr>
        <w:t xml:space="preserve"> и подросткового </w:t>
      </w:r>
      <w:r w:rsidRPr="00B058AC">
        <w:rPr>
          <w:i/>
          <w:color w:val="auto"/>
          <w:szCs w:val="24"/>
        </w:rPr>
        <w:t>возраста</w:t>
      </w:r>
    </w:p>
    <w:p w14:paraId="6A993E8A" w14:textId="7F4ADFD9" w:rsidR="00237C9C" w:rsidRDefault="00237C9C" w:rsidP="00513768">
      <w:pPr>
        <w:pStyle w:val="a4"/>
        <w:keepNext/>
        <w:spacing w:line="240" w:lineRule="auto"/>
        <w:jc w:val="both"/>
        <w:rPr>
          <w:color w:val="auto"/>
          <w:szCs w:val="24"/>
        </w:rPr>
      </w:pPr>
      <w:r w:rsidRPr="00B058AC">
        <w:rPr>
          <w:color w:val="auto"/>
          <w:szCs w:val="24"/>
        </w:rPr>
        <w:t>Фармакокинетика триметазидина у детей и подростков в возрасте до 18 лет не изучалась.</w:t>
      </w:r>
    </w:p>
    <w:p w14:paraId="767A7A9F" w14:textId="77777777" w:rsidR="00B058AC" w:rsidRPr="00B058AC" w:rsidRDefault="00B058AC" w:rsidP="00513768">
      <w:pPr>
        <w:pStyle w:val="a4"/>
        <w:keepNext/>
        <w:spacing w:line="240" w:lineRule="auto"/>
        <w:jc w:val="both"/>
        <w:rPr>
          <w:color w:val="auto"/>
          <w:szCs w:val="24"/>
        </w:rPr>
      </w:pPr>
    </w:p>
    <w:p w14:paraId="14012786" w14:textId="77777777" w:rsidR="009D576A" w:rsidRPr="00B058AC" w:rsidRDefault="009D576A" w:rsidP="00513768">
      <w:pPr>
        <w:pStyle w:val="3"/>
        <w:widowControl w:val="0"/>
        <w:spacing w:before="0" w:after="0"/>
        <w:jc w:val="both"/>
        <w:rPr>
          <w:sz w:val="24"/>
          <w:szCs w:val="24"/>
        </w:rPr>
      </w:pPr>
      <w:r w:rsidRPr="00B058AC">
        <w:rPr>
          <w:sz w:val="24"/>
          <w:szCs w:val="24"/>
        </w:rPr>
        <w:t>Показания к применению</w:t>
      </w:r>
    </w:p>
    <w:p w14:paraId="0B560F08" w14:textId="53BF0A17" w:rsidR="00237C9C" w:rsidRDefault="00237C9C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>Длительная терапия ишемической болезни сердца: профилактика приступов стабильной стенокардии в составе моно- или комбинированной терапии.</w:t>
      </w:r>
    </w:p>
    <w:p w14:paraId="62F2F696" w14:textId="77777777" w:rsidR="00B058AC" w:rsidRPr="00B058AC" w:rsidRDefault="00B058AC" w:rsidP="00513768">
      <w:pPr>
        <w:jc w:val="both"/>
        <w:rPr>
          <w:bCs/>
          <w:color w:val="000000"/>
        </w:rPr>
      </w:pPr>
    </w:p>
    <w:p w14:paraId="7F8B6717" w14:textId="77777777" w:rsidR="00237C9C" w:rsidRPr="00B058AC" w:rsidRDefault="00237C9C" w:rsidP="00513768">
      <w:pPr>
        <w:pStyle w:val="3"/>
        <w:widowControl w:val="0"/>
        <w:spacing w:before="0" w:after="0"/>
        <w:jc w:val="both"/>
        <w:rPr>
          <w:sz w:val="24"/>
          <w:szCs w:val="24"/>
        </w:rPr>
      </w:pPr>
      <w:r w:rsidRPr="00B058AC">
        <w:rPr>
          <w:sz w:val="24"/>
          <w:szCs w:val="24"/>
        </w:rPr>
        <w:t>Противопоказания</w:t>
      </w:r>
    </w:p>
    <w:p w14:paraId="21FEDE9C" w14:textId="054E0B49" w:rsidR="00237C9C" w:rsidRPr="00B058AC" w:rsidRDefault="00237C9C" w:rsidP="00807BAD">
      <w:pPr>
        <w:pStyle w:val="a3"/>
        <w:numPr>
          <w:ilvl w:val="0"/>
          <w:numId w:val="4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Повышенная чувствительность к</w:t>
      </w:r>
      <w:r w:rsidR="00744E1A" w:rsidRPr="00B058AC">
        <w:rPr>
          <w:bCs/>
          <w:color w:val="000000"/>
        </w:rPr>
        <w:t xml:space="preserve"> действующему веществу или</w:t>
      </w:r>
      <w:r w:rsidRPr="00B058AC">
        <w:rPr>
          <w:bCs/>
          <w:color w:val="000000"/>
        </w:rPr>
        <w:t xml:space="preserve"> любому из </w:t>
      </w:r>
      <w:r w:rsidR="00744E1A" w:rsidRPr="00B058AC">
        <w:rPr>
          <w:bCs/>
          <w:color w:val="000000"/>
        </w:rPr>
        <w:t xml:space="preserve">вспомогательных веществ, входящих в состав лекарственного </w:t>
      </w:r>
      <w:r w:rsidRPr="00B058AC">
        <w:rPr>
          <w:bCs/>
          <w:color w:val="000000"/>
        </w:rPr>
        <w:t xml:space="preserve">препарата. </w:t>
      </w:r>
    </w:p>
    <w:p w14:paraId="49AEC6E3" w14:textId="77777777" w:rsidR="00237C9C" w:rsidRPr="00B058AC" w:rsidRDefault="00237C9C" w:rsidP="00807BAD">
      <w:pPr>
        <w:pStyle w:val="a3"/>
        <w:numPr>
          <w:ilvl w:val="0"/>
          <w:numId w:val="4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Болезнь Паркинсона, симптомы паркинсонизма, тремор, синдром «беспокойных ног» и другие связанные с ними двигательные нарушения.</w:t>
      </w:r>
    </w:p>
    <w:p w14:paraId="4F4A161A" w14:textId="77777777" w:rsidR="00921796" w:rsidRDefault="00237C9C" w:rsidP="00807BAD">
      <w:pPr>
        <w:pStyle w:val="a3"/>
        <w:numPr>
          <w:ilvl w:val="0"/>
          <w:numId w:val="4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Тяжелая почечная недостаточность (клиренс креатинина менее 30</w:t>
      </w:r>
      <w:r w:rsidR="008576A1">
        <w:rPr>
          <w:bCs/>
          <w:color w:val="000000"/>
        </w:rPr>
        <w:t> </w:t>
      </w:r>
      <w:r w:rsidRPr="00B058AC">
        <w:rPr>
          <w:bCs/>
          <w:color w:val="000000"/>
        </w:rPr>
        <w:t>мл/мин).</w:t>
      </w:r>
      <w:r w:rsidR="00921796">
        <w:rPr>
          <w:bCs/>
          <w:color w:val="000000"/>
        </w:rPr>
        <w:t xml:space="preserve"> </w:t>
      </w:r>
    </w:p>
    <w:p w14:paraId="0A8F1420" w14:textId="0A112877" w:rsidR="00237C9C" w:rsidRPr="00B058AC" w:rsidRDefault="00237C9C" w:rsidP="00807BAD">
      <w:pPr>
        <w:pStyle w:val="a3"/>
        <w:numPr>
          <w:ilvl w:val="0"/>
          <w:numId w:val="4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Из-за отсутствия достаточного количества клинических данных, пациентам до 18 лет назначение препарата не рекомендуется.</w:t>
      </w:r>
    </w:p>
    <w:p w14:paraId="6396A9D9" w14:textId="1F83A4FD" w:rsidR="00744E1A" w:rsidRPr="00B058AC" w:rsidRDefault="00744E1A" w:rsidP="00807BAD">
      <w:pPr>
        <w:pStyle w:val="a3"/>
        <w:numPr>
          <w:ilvl w:val="0"/>
          <w:numId w:val="4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Бер</w:t>
      </w:r>
      <w:r w:rsidR="00516EE0">
        <w:rPr>
          <w:bCs/>
          <w:color w:val="000000"/>
        </w:rPr>
        <w:t>е</w:t>
      </w:r>
      <w:r w:rsidRPr="00B058AC">
        <w:rPr>
          <w:bCs/>
          <w:color w:val="000000"/>
        </w:rPr>
        <w:t>менность и период грудного вскармливания.</w:t>
      </w:r>
    </w:p>
    <w:p w14:paraId="636E9673" w14:textId="77777777" w:rsidR="006E5535" w:rsidRPr="00B058AC" w:rsidRDefault="006E5535" w:rsidP="00513768">
      <w:pPr>
        <w:keepNext/>
        <w:jc w:val="both"/>
        <w:rPr>
          <w:b/>
        </w:rPr>
      </w:pPr>
      <w:r w:rsidRPr="00B058AC">
        <w:rPr>
          <w:b/>
        </w:rPr>
        <w:lastRenderedPageBreak/>
        <w:t>С осторожностью</w:t>
      </w:r>
    </w:p>
    <w:p w14:paraId="248EA048" w14:textId="0EAC6F45" w:rsidR="006E5535" w:rsidRPr="00B058AC" w:rsidRDefault="006E5535" w:rsidP="00807BAD">
      <w:pPr>
        <w:pStyle w:val="a3"/>
        <w:numPr>
          <w:ilvl w:val="0"/>
          <w:numId w:val="5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Пациенты с печеночной недостаточностью тяжелой степени тяжести (от 1</w:t>
      </w:r>
      <w:r w:rsidR="00471357" w:rsidRPr="00B058AC">
        <w:rPr>
          <w:bCs/>
          <w:color w:val="000000"/>
        </w:rPr>
        <w:t>0 до 15</w:t>
      </w:r>
      <w:r w:rsidR="008576A1">
        <w:rPr>
          <w:bCs/>
          <w:color w:val="000000"/>
        </w:rPr>
        <w:t> </w:t>
      </w:r>
      <w:r w:rsidR="00471357" w:rsidRPr="00B058AC">
        <w:rPr>
          <w:bCs/>
          <w:color w:val="000000"/>
        </w:rPr>
        <w:t>баллов по шкале Чайлд-Пь</w:t>
      </w:r>
      <w:r w:rsidR="006413F3">
        <w:rPr>
          <w:bCs/>
          <w:color w:val="000000"/>
        </w:rPr>
        <w:t>ю</w:t>
      </w:r>
      <w:r w:rsidRPr="00B058AC">
        <w:rPr>
          <w:bCs/>
          <w:color w:val="000000"/>
        </w:rPr>
        <w:t>).</w:t>
      </w:r>
    </w:p>
    <w:p w14:paraId="0EA7B038" w14:textId="5BFE9372" w:rsidR="006E5535" w:rsidRPr="00B058AC" w:rsidRDefault="006E5535" w:rsidP="00807BAD">
      <w:pPr>
        <w:pStyle w:val="a3"/>
        <w:numPr>
          <w:ilvl w:val="0"/>
          <w:numId w:val="5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Пациенты с почечной недостаточностью умеренной степени тяжести (клиренс креатинина 30-60</w:t>
      </w:r>
      <w:r w:rsidR="008576A1">
        <w:rPr>
          <w:bCs/>
          <w:color w:val="000000"/>
        </w:rPr>
        <w:t> </w:t>
      </w:r>
      <w:r w:rsidRPr="00B058AC">
        <w:rPr>
          <w:bCs/>
          <w:color w:val="000000"/>
        </w:rPr>
        <w:t>мл/мин).</w:t>
      </w:r>
    </w:p>
    <w:p w14:paraId="52200173" w14:textId="77777777" w:rsidR="006E5535" w:rsidRPr="00B058AC" w:rsidRDefault="006E5535" w:rsidP="00807BAD">
      <w:pPr>
        <w:pStyle w:val="a3"/>
        <w:numPr>
          <w:ilvl w:val="0"/>
          <w:numId w:val="5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Пациенты старше 75 лет (см. разделы «Способ применения и дозы» и «Особые указания»).</w:t>
      </w:r>
    </w:p>
    <w:p w14:paraId="30E47FF4" w14:textId="77777777" w:rsidR="00CF1601" w:rsidRPr="00B058AC" w:rsidRDefault="00CF1601" w:rsidP="00807BAD">
      <w:pPr>
        <w:pStyle w:val="a3"/>
        <w:ind w:left="284" w:hanging="284"/>
        <w:jc w:val="both"/>
        <w:rPr>
          <w:bCs/>
          <w:color w:val="000000"/>
        </w:rPr>
      </w:pPr>
    </w:p>
    <w:p w14:paraId="490D920D" w14:textId="77777777" w:rsidR="006E5535" w:rsidRPr="00B058AC" w:rsidRDefault="006E5535" w:rsidP="00513768">
      <w:pPr>
        <w:keepNext/>
        <w:jc w:val="both"/>
        <w:rPr>
          <w:b/>
        </w:rPr>
      </w:pPr>
      <w:r w:rsidRPr="00B058AC">
        <w:rPr>
          <w:b/>
        </w:rPr>
        <w:t>Применение при беременности и в период грудного вскармливания</w:t>
      </w:r>
    </w:p>
    <w:p w14:paraId="28A8D178" w14:textId="77777777" w:rsidR="006E5535" w:rsidRPr="00B058AC" w:rsidRDefault="006E5535" w:rsidP="00513768">
      <w:pPr>
        <w:keepNext/>
        <w:jc w:val="both"/>
        <w:rPr>
          <w:i/>
        </w:rPr>
      </w:pPr>
      <w:r w:rsidRPr="00B058AC">
        <w:rPr>
          <w:i/>
        </w:rPr>
        <w:t>Беременность</w:t>
      </w:r>
    </w:p>
    <w:p w14:paraId="6F78ACC7" w14:textId="114C58FC" w:rsidR="006E5535" w:rsidRPr="00B058AC" w:rsidRDefault="006E5535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Данные о применении триметазидина у беременных отсутствуют. Исследования на животных не выявили наличие прямой или непрямой репродуктивной токсичности. </w:t>
      </w:r>
      <w:r w:rsidR="00744E1A" w:rsidRPr="00B058AC">
        <w:rPr>
          <w:bCs/>
          <w:color w:val="000000"/>
        </w:rPr>
        <w:t xml:space="preserve">Применение триметазидина во время беременности противопоказано. </w:t>
      </w:r>
    </w:p>
    <w:p w14:paraId="03893360" w14:textId="77777777" w:rsidR="006E5535" w:rsidRPr="00B058AC" w:rsidRDefault="006E5535" w:rsidP="00513768">
      <w:pPr>
        <w:keepNext/>
        <w:jc w:val="both"/>
        <w:rPr>
          <w:i/>
        </w:rPr>
      </w:pPr>
      <w:r w:rsidRPr="00B058AC">
        <w:rPr>
          <w:i/>
        </w:rPr>
        <w:t>Период грудного вскармливания</w:t>
      </w:r>
    </w:p>
    <w:p w14:paraId="41849EB3" w14:textId="4A7B9209" w:rsidR="006E5535" w:rsidRPr="00B058AC" w:rsidRDefault="006E5535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>Данные о выделении триметазидина или его метаболитов в грудное молоко отсутствуют. Риск для новорожденного/ребенка не может быть исключен. При необходимости применения препарата в период грудного вскармливания, грудное вскармливание необходимо прекратить.</w:t>
      </w:r>
    </w:p>
    <w:p w14:paraId="346DDD14" w14:textId="55F9882F" w:rsidR="00744E1A" w:rsidRPr="00334ECE" w:rsidRDefault="00744E1A" w:rsidP="00513768">
      <w:pPr>
        <w:jc w:val="both"/>
        <w:rPr>
          <w:bCs/>
          <w:i/>
          <w:color w:val="000000"/>
        </w:rPr>
      </w:pPr>
      <w:r w:rsidRPr="00334ECE">
        <w:rPr>
          <w:bCs/>
          <w:i/>
          <w:color w:val="000000"/>
        </w:rPr>
        <w:t>Фертильность</w:t>
      </w:r>
    </w:p>
    <w:p w14:paraId="60EA535B" w14:textId="6A5CCB5C" w:rsidR="00744E1A" w:rsidRPr="00B058AC" w:rsidRDefault="00744E1A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>Исследования репродуктивной токсичности не выявили влияния препарата на самцов и самок крыс.</w:t>
      </w:r>
    </w:p>
    <w:p w14:paraId="17C9150B" w14:textId="77777777" w:rsidR="00AB593F" w:rsidRPr="00B058AC" w:rsidRDefault="00AB593F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38FC93" w14:textId="77777777" w:rsidR="00AB593F" w:rsidRPr="00B058AC" w:rsidRDefault="006E5535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B058AC">
        <w:rPr>
          <w:rFonts w:ascii="Times New Roman" w:hAnsi="Times New Roman" w:cs="Times New Roman"/>
          <w:bCs w:val="0"/>
          <w:sz w:val="24"/>
          <w:szCs w:val="24"/>
        </w:rPr>
        <w:t>Способ применения и дозы</w:t>
      </w:r>
    </w:p>
    <w:p w14:paraId="5D3E4202" w14:textId="77777777" w:rsidR="00AB593F" w:rsidRPr="00B058AC" w:rsidRDefault="006E5535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Внутрь, по 1 </w:t>
      </w:r>
      <w:r w:rsidR="007243D4"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таблетке</w:t>
      </w: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1 раз в сутки, утром, во время завтрака.</w:t>
      </w:r>
    </w:p>
    <w:p w14:paraId="38771FD1" w14:textId="77777777" w:rsidR="00AB593F" w:rsidRPr="00B058AC" w:rsidRDefault="00C27FA6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Таблетки</w:t>
      </w:r>
      <w:r w:rsidR="006E5535"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следует принимать целиком, не разжевывая, запивая водой.</w:t>
      </w:r>
    </w:p>
    <w:p w14:paraId="4D0C6DA4" w14:textId="77777777" w:rsidR="00AB593F" w:rsidRPr="00B058AC" w:rsidRDefault="006E5535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Оценка пользы от лечения может быть проведена после трех месяцев приема </w:t>
      </w:r>
      <w:r w:rsidR="00471357"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препарата.</w:t>
      </w:r>
    </w:p>
    <w:p w14:paraId="70D708D0" w14:textId="019E347F" w:rsidR="006E5535" w:rsidRPr="00B058AC" w:rsidRDefault="006E5535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Прием </w:t>
      </w:r>
      <w:r w:rsidR="00AB593F" w:rsidRPr="00B058A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препарата </w:t>
      </w: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следует прекратить, если за это время улучшения не</w:t>
      </w:r>
      <w:r w:rsidR="00AB593F"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наступило.</w:t>
      </w:r>
    </w:p>
    <w:p w14:paraId="047A0469" w14:textId="77777777" w:rsidR="006E5535" w:rsidRPr="00B058AC" w:rsidRDefault="006E5535" w:rsidP="00513768">
      <w:r w:rsidRPr="00B058AC">
        <w:t>Продолжительность лечения определяется врачом.</w:t>
      </w:r>
    </w:p>
    <w:p w14:paraId="5807D289" w14:textId="77777777" w:rsidR="00AB593F" w:rsidRPr="00B058AC" w:rsidRDefault="00AB593F" w:rsidP="00513768">
      <w:pPr>
        <w:pStyle w:val="2"/>
        <w:keepNext/>
        <w:spacing w:after="0" w:line="240" w:lineRule="auto"/>
        <w:jc w:val="both"/>
        <w:rPr>
          <w:i/>
          <w:sz w:val="24"/>
          <w:szCs w:val="24"/>
        </w:rPr>
      </w:pPr>
      <w:r w:rsidRPr="00B058AC">
        <w:rPr>
          <w:i/>
          <w:sz w:val="24"/>
          <w:szCs w:val="24"/>
        </w:rPr>
        <w:t xml:space="preserve">Пациенты пожилого возраста </w:t>
      </w:r>
    </w:p>
    <w:p w14:paraId="3F24B9EC" w14:textId="434E268E" w:rsidR="00AB593F" w:rsidRPr="00B058AC" w:rsidRDefault="00AB593F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 пациентов старше 75 лет может наблюдаться повышенная экспозиция триметазидина </w:t>
      </w:r>
      <w:r w:rsidR="007B58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из-за возрастного снижения функции почек (см. раздел «Фармакокинетика»). У пациентов с почечной недостаточностью умеренной степени тяжести (КК 30-60</w:t>
      </w:r>
      <w:r w:rsidR="008576A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мл/мин), рекомендуется снижение дозы, т.е. 1 таблетка, содержащая 35</w:t>
      </w:r>
      <w:r w:rsidR="008576A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мг триметазидина в день.</w:t>
      </w:r>
    </w:p>
    <w:p w14:paraId="7EFD58A4" w14:textId="77777777" w:rsidR="00AB593F" w:rsidRPr="00B058AC" w:rsidRDefault="00AB593F" w:rsidP="00513768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8A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Подбор дозы у пациентов старше 75 лет должен происходить с осторожностью (см. раздел «Особые указания»).</w:t>
      </w:r>
    </w:p>
    <w:p w14:paraId="583E7779" w14:textId="77777777" w:rsidR="006E5535" w:rsidRPr="00B058AC" w:rsidRDefault="006E5535" w:rsidP="00513768">
      <w:pPr>
        <w:pStyle w:val="2"/>
        <w:keepNext/>
        <w:spacing w:after="0" w:line="240" w:lineRule="auto"/>
        <w:jc w:val="both"/>
        <w:rPr>
          <w:i/>
          <w:sz w:val="24"/>
          <w:szCs w:val="24"/>
        </w:rPr>
      </w:pPr>
      <w:r w:rsidRPr="00B058AC">
        <w:rPr>
          <w:i/>
          <w:sz w:val="24"/>
          <w:szCs w:val="24"/>
        </w:rPr>
        <w:t>Пациенты с нарушением функции почек</w:t>
      </w:r>
    </w:p>
    <w:p w14:paraId="6F7A4C5F" w14:textId="35DA5542" w:rsidR="00AB593F" w:rsidRPr="00B058AC" w:rsidRDefault="00AB593F" w:rsidP="00513768">
      <w:pPr>
        <w:pStyle w:val="2"/>
        <w:keepNext/>
        <w:spacing w:after="0" w:line="240" w:lineRule="auto"/>
        <w:jc w:val="both"/>
        <w:rPr>
          <w:sz w:val="24"/>
          <w:szCs w:val="24"/>
        </w:rPr>
      </w:pPr>
      <w:r w:rsidRPr="00B058AC">
        <w:rPr>
          <w:sz w:val="24"/>
          <w:szCs w:val="24"/>
        </w:rPr>
        <w:t>У пациентов с почечной недостаточностью умеренной степени тяжести (КК 30-60</w:t>
      </w:r>
      <w:r w:rsidR="008576A1">
        <w:rPr>
          <w:sz w:val="24"/>
          <w:szCs w:val="24"/>
        </w:rPr>
        <w:t> </w:t>
      </w:r>
      <w:r w:rsidRPr="00B058AC">
        <w:rPr>
          <w:sz w:val="24"/>
          <w:szCs w:val="24"/>
        </w:rPr>
        <w:t>мл/мин) (См. разделы «Фармакокинетика» и «Особые указания») рекомендуется снижение дозы, т.е. 1 таблетка, содержащая 35</w:t>
      </w:r>
      <w:r w:rsidR="008576A1">
        <w:rPr>
          <w:sz w:val="24"/>
          <w:szCs w:val="24"/>
        </w:rPr>
        <w:t> </w:t>
      </w:r>
      <w:r w:rsidRPr="00B058AC">
        <w:rPr>
          <w:sz w:val="24"/>
          <w:szCs w:val="24"/>
        </w:rPr>
        <w:t>мг триметазидина в день.</w:t>
      </w:r>
    </w:p>
    <w:p w14:paraId="41D0DC89" w14:textId="77777777" w:rsidR="006E5535" w:rsidRPr="00B058AC" w:rsidRDefault="006E5535" w:rsidP="00513768">
      <w:pPr>
        <w:pStyle w:val="2"/>
        <w:keepNext/>
        <w:spacing w:after="0" w:line="240" w:lineRule="auto"/>
        <w:jc w:val="both"/>
        <w:rPr>
          <w:i/>
          <w:sz w:val="24"/>
          <w:szCs w:val="24"/>
        </w:rPr>
      </w:pPr>
      <w:r w:rsidRPr="00B058AC">
        <w:rPr>
          <w:i/>
          <w:sz w:val="24"/>
          <w:szCs w:val="24"/>
        </w:rPr>
        <w:t>Пациенты с нарушением функции печени</w:t>
      </w:r>
    </w:p>
    <w:p w14:paraId="04A94FB6" w14:textId="6B3AA11F" w:rsidR="006E5535" w:rsidRPr="00B058AC" w:rsidRDefault="00AB593F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>Следует проявлять осторожность при лечении пациентов с печеночной недостаточностью тяжелой степени тяжести</w:t>
      </w:r>
      <w:r w:rsidR="007B58BB">
        <w:rPr>
          <w:bCs/>
          <w:color w:val="000000"/>
        </w:rPr>
        <w:t xml:space="preserve"> (см. раздел «Особые указания»)</w:t>
      </w:r>
      <w:r w:rsidRPr="00B058AC">
        <w:rPr>
          <w:bCs/>
          <w:color w:val="000000"/>
        </w:rPr>
        <w:t xml:space="preserve"> ввиду того, что имеющиеся данные ограничены и не позволяют полностью исключить отсутствие влияния нарушений функции печени на метаболизм триметазидина.</w:t>
      </w:r>
    </w:p>
    <w:p w14:paraId="6E63A7B8" w14:textId="77777777" w:rsidR="00AB593F" w:rsidRPr="00B058AC" w:rsidRDefault="00AB593F" w:rsidP="00513768">
      <w:pPr>
        <w:pStyle w:val="a4"/>
        <w:keepNext/>
        <w:spacing w:line="240" w:lineRule="auto"/>
        <w:jc w:val="both"/>
        <w:rPr>
          <w:i/>
          <w:color w:val="auto"/>
          <w:szCs w:val="24"/>
        </w:rPr>
      </w:pPr>
      <w:r w:rsidRPr="00B058AC">
        <w:rPr>
          <w:i/>
          <w:color w:val="auto"/>
          <w:szCs w:val="24"/>
        </w:rPr>
        <w:t>Пациенты детского возраста</w:t>
      </w:r>
    </w:p>
    <w:p w14:paraId="00263D4D" w14:textId="77777777" w:rsidR="00AB593F" w:rsidRPr="00B058AC" w:rsidRDefault="00AB593F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>Безопасность и эффективность применения триметазидина у пациентов младше 18 лет не установлены. Данные отсутствуют.</w:t>
      </w:r>
    </w:p>
    <w:p w14:paraId="560A6566" w14:textId="77777777" w:rsidR="00AB593F" w:rsidRPr="00B058AC" w:rsidRDefault="00AB593F" w:rsidP="00513768">
      <w:pPr>
        <w:jc w:val="both"/>
        <w:rPr>
          <w:bCs/>
          <w:color w:val="000000"/>
        </w:rPr>
      </w:pPr>
    </w:p>
    <w:p w14:paraId="67E0DD42" w14:textId="77777777" w:rsidR="0060702B" w:rsidRPr="00B058AC" w:rsidRDefault="0060702B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b/>
        </w:rPr>
      </w:pPr>
      <w:r w:rsidRPr="00B058AC">
        <w:rPr>
          <w:b/>
        </w:rPr>
        <w:t>Побочное действие</w:t>
      </w:r>
    </w:p>
    <w:p w14:paraId="38952816" w14:textId="77777777" w:rsidR="0060702B" w:rsidRPr="00B058AC" w:rsidRDefault="0060702B" w:rsidP="00513768">
      <w:pPr>
        <w:widowControl w:val="0"/>
        <w:jc w:val="both"/>
        <w:rPr>
          <w:color w:val="000000"/>
        </w:rPr>
      </w:pPr>
      <w:r w:rsidRPr="00B058AC">
        <w:rPr>
          <w:color w:val="000000"/>
        </w:rPr>
        <w:t>Классификация частоты развития побочных эффектов согласно рекомендациям Всемирной организации здравоохранения (ВОЗ):</w:t>
      </w:r>
    </w:p>
    <w:p w14:paraId="4D2F982D" w14:textId="77777777" w:rsidR="0060702B" w:rsidRPr="00B058AC" w:rsidRDefault="0060702B" w:rsidP="00513768">
      <w:pPr>
        <w:widowControl w:val="0"/>
        <w:tabs>
          <w:tab w:val="left" w:pos="2127"/>
        </w:tabs>
        <w:rPr>
          <w:color w:val="000000"/>
        </w:rPr>
      </w:pPr>
      <w:r w:rsidRPr="00B058AC">
        <w:rPr>
          <w:color w:val="000000"/>
        </w:rPr>
        <w:lastRenderedPageBreak/>
        <w:t>очень часто</w:t>
      </w:r>
      <w:r w:rsidRPr="00B058AC">
        <w:rPr>
          <w:color w:val="000000"/>
        </w:rPr>
        <w:tab/>
        <w:t>≥1/10;</w:t>
      </w:r>
    </w:p>
    <w:p w14:paraId="35EDDB6D" w14:textId="77777777" w:rsidR="0060702B" w:rsidRPr="00B058AC" w:rsidRDefault="0060702B" w:rsidP="00513768">
      <w:pPr>
        <w:widowControl w:val="0"/>
        <w:tabs>
          <w:tab w:val="left" w:pos="2127"/>
        </w:tabs>
        <w:rPr>
          <w:color w:val="000000"/>
        </w:rPr>
      </w:pPr>
      <w:r w:rsidRPr="00B058AC">
        <w:rPr>
          <w:color w:val="000000"/>
        </w:rPr>
        <w:t xml:space="preserve">часто </w:t>
      </w:r>
      <w:r w:rsidRPr="00B058AC">
        <w:rPr>
          <w:color w:val="000000"/>
        </w:rPr>
        <w:tab/>
        <w:t>от ≥ 1/100 до &lt; 1/10;</w:t>
      </w:r>
    </w:p>
    <w:p w14:paraId="0107BFB7" w14:textId="77777777" w:rsidR="0060702B" w:rsidRPr="00B058AC" w:rsidRDefault="0060702B" w:rsidP="00513768">
      <w:pPr>
        <w:widowControl w:val="0"/>
        <w:tabs>
          <w:tab w:val="left" w:pos="2127"/>
        </w:tabs>
        <w:rPr>
          <w:color w:val="000000"/>
        </w:rPr>
      </w:pPr>
      <w:r w:rsidRPr="00B058AC">
        <w:rPr>
          <w:color w:val="000000"/>
        </w:rPr>
        <w:t>нечасто</w:t>
      </w:r>
      <w:r w:rsidRPr="00B058AC">
        <w:rPr>
          <w:color w:val="000000"/>
        </w:rPr>
        <w:tab/>
        <w:t>от ≥ 1/1000 до &lt; 1/100;</w:t>
      </w:r>
    </w:p>
    <w:p w14:paraId="21527E2A" w14:textId="77777777" w:rsidR="0060702B" w:rsidRPr="00B058AC" w:rsidRDefault="0060702B" w:rsidP="00513768">
      <w:pPr>
        <w:widowControl w:val="0"/>
        <w:tabs>
          <w:tab w:val="left" w:pos="2127"/>
        </w:tabs>
        <w:rPr>
          <w:color w:val="000000"/>
        </w:rPr>
      </w:pPr>
      <w:r w:rsidRPr="00B058AC">
        <w:rPr>
          <w:color w:val="000000"/>
        </w:rPr>
        <w:t xml:space="preserve">редко </w:t>
      </w:r>
      <w:r w:rsidRPr="00B058AC">
        <w:rPr>
          <w:color w:val="000000"/>
        </w:rPr>
        <w:tab/>
        <w:t>от ≥ 1/10000 до &lt; 1/1000;</w:t>
      </w:r>
    </w:p>
    <w:p w14:paraId="74BECAF3" w14:textId="77777777" w:rsidR="0060702B" w:rsidRPr="00B058AC" w:rsidRDefault="0060702B" w:rsidP="00513768">
      <w:pPr>
        <w:widowControl w:val="0"/>
        <w:tabs>
          <w:tab w:val="left" w:pos="2127"/>
        </w:tabs>
        <w:rPr>
          <w:color w:val="000000"/>
        </w:rPr>
      </w:pPr>
      <w:r w:rsidRPr="00B058AC">
        <w:rPr>
          <w:color w:val="000000"/>
        </w:rPr>
        <w:t>очень редко</w:t>
      </w:r>
      <w:r w:rsidRPr="00B058AC">
        <w:rPr>
          <w:color w:val="000000"/>
        </w:rPr>
        <w:tab/>
        <w:t>&lt; 1/10000, включая отдельные сообщения;</w:t>
      </w:r>
    </w:p>
    <w:p w14:paraId="567CD2BC" w14:textId="77777777" w:rsidR="0060702B" w:rsidRPr="00B058AC" w:rsidRDefault="0060702B" w:rsidP="00513768">
      <w:pPr>
        <w:widowControl w:val="0"/>
        <w:jc w:val="both"/>
        <w:rPr>
          <w:i/>
          <w:iCs/>
          <w:color w:val="000000"/>
        </w:rPr>
      </w:pPr>
      <w:r w:rsidRPr="00B058AC">
        <w:rPr>
          <w:color w:val="000000"/>
        </w:rPr>
        <w:t>частота неизвестна</w:t>
      </w:r>
      <w:r w:rsidRPr="00B058AC">
        <w:rPr>
          <w:color w:val="000000"/>
        </w:rPr>
        <w:tab/>
        <w:t>– по имеющимся данным установить частоту возникновения не представляется возможным.</w:t>
      </w:r>
      <w:r w:rsidRPr="00B058AC">
        <w:rPr>
          <w:i/>
          <w:iCs/>
          <w:color w:val="000000"/>
        </w:rPr>
        <w:t xml:space="preserve"> </w:t>
      </w:r>
    </w:p>
    <w:p w14:paraId="0DAD61AC" w14:textId="77777777" w:rsidR="00982B1E" w:rsidRPr="00B058AC" w:rsidRDefault="00982B1E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rPr>
          <w:i/>
        </w:rPr>
        <w:t>Нарушения со стороны крови и лимфатической систем:</w:t>
      </w:r>
    </w:p>
    <w:p w14:paraId="4F88C220" w14:textId="36F2665E" w:rsidR="00982B1E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частота неизвестна  – </w:t>
      </w:r>
      <w:r w:rsidRPr="00B058AC">
        <w:rPr>
          <w:bCs/>
          <w:color w:val="000000"/>
        </w:rPr>
        <w:t>агранулоцитоз, тромбоцитопения, тромбоцитопеническая пурпура.</w:t>
      </w:r>
    </w:p>
    <w:p w14:paraId="4C8C19C5" w14:textId="77777777" w:rsidR="00982B1E" w:rsidRPr="00B058AC" w:rsidRDefault="00982B1E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rPr>
          <w:i/>
        </w:rPr>
        <w:t>Нарушения со стороны нервной системы:</w:t>
      </w:r>
    </w:p>
    <w:p w14:paraId="35C573BB" w14:textId="707096A0" w:rsidR="00982B1E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часто – </w:t>
      </w:r>
      <w:r w:rsidR="008576A1">
        <w:rPr>
          <w:bCs/>
          <w:color w:val="000000"/>
        </w:rPr>
        <w:t>головокружение, головная боль;</w:t>
      </w:r>
    </w:p>
    <w:p w14:paraId="72F5AC9D" w14:textId="56147C78" w:rsidR="00982B1E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частота неизвестна – </w:t>
      </w:r>
      <w:r w:rsidRPr="00B058AC">
        <w:rPr>
          <w:bCs/>
          <w:color w:val="000000"/>
        </w:rPr>
        <w:t>симптомы паркинсонизма (тремор, акинезия, повышение тонуса), «шаткость» походки, синдром «беспокойных ног», другие связанные с ними двигательные нарушения, обычно обратимые после прекращения терапии. Нарушения сна (бессонница, сонливость).</w:t>
      </w:r>
    </w:p>
    <w:p w14:paraId="6AF7F7C2" w14:textId="7CD5A29C" w:rsidR="009B60F0" w:rsidRPr="00B058AC" w:rsidRDefault="009B60F0" w:rsidP="00513768">
      <w:pPr>
        <w:jc w:val="both"/>
        <w:rPr>
          <w:bCs/>
          <w:i/>
          <w:iCs/>
          <w:color w:val="000000"/>
        </w:rPr>
      </w:pPr>
      <w:r w:rsidRPr="00B058AC">
        <w:rPr>
          <w:bCs/>
          <w:i/>
          <w:iCs/>
          <w:color w:val="000000"/>
        </w:rPr>
        <w:t xml:space="preserve">Нарушения со стороны </w:t>
      </w:r>
      <w:r w:rsidR="00C77FAA" w:rsidRPr="00B058AC">
        <w:rPr>
          <w:bCs/>
          <w:i/>
          <w:iCs/>
          <w:color w:val="000000"/>
        </w:rPr>
        <w:t>органа слуха и лабиринта</w:t>
      </w:r>
      <w:r w:rsidRPr="00B058AC">
        <w:rPr>
          <w:bCs/>
          <w:i/>
          <w:iCs/>
          <w:color w:val="000000"/>
        </w:rPr>
        <w:t>:</w:t>
      </w:r>
    </w:p>
    <w:p w14:paraId="2E14A724" w14:textId="3C26168D" w:rsidR="009B60F0" w:rsidRPr="00B058AC" w:rsidRDefault="009B60F0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Частота неизвестна </w:t>
      </w:r>
      <w:r w:rsidR="008576A1">
        <w:rPr>
          <w:bCs/>
          <w:color w:val="000000"/>
        </w:rPr>
        <w:t>–</w:t>
      </w:r>
      <w:r w:rsidRPr="00B058AC">
        <w:rPr>
          <w:bCs/>
          <w:color w:val="000000"/>
        </w:rPr>
        <w:t xml:space="preserve"> вертиго</w:t>
      </w:r>
      <w:r w:rsidR="008576A1">
        <w:rPr>
          <w:bCs/>
          <w:color w:val="000000"/>
        </w:rPr>
        <w:t>.</w:t>
      </w:r>
    </w:p>
    <w:p w14:paraId="55EC0183" w14:textId="77777777" w:rsidR="00982B1E" w:rsidRPr="00B058AC" w:rsidRDefault="00982B1E" w:rsidP="00513768">
      <w:pPr>
        <w:jc w:val="both"/>
        <w:rPr>
          <w:i/>
        </w:rPr>
      </w:pPr>
      <w:r w:rsidRPr="00B058AC">
        <w:rPr>
          <w:i/>
        </w:rPr>
        <w:t>Нарушения со стороны сердца:</w:t>
      </w:r>
    </w:p>
    <w:p w14:paraId="5A02EFCE" w14:textId="6F547F7C" w:rsidR="00982B1E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редко – </w:t>
      </w:r>
      <w:r w:rsidRPr="00B058AC">
        <w:rPr>
          <w:bCs/>
          <w:color w:val="000000"/>
        </w:rPr>
        <w:t>ощущение сердцебиен</w:t>
      </w:r>
      <w:r w:rsidR="008576A1">
        <w:rPr>
          <w:bCs/>
          <w:color w:val="000000"/>
        </w:rPr>
        <w:t>ия, экстрасистолия, тахикардия.</w:t>
      </w:r>
    </w:p>
    <w:p w14:paraId="3DB69D49" w14:textId="77777777" w:rsidR="00982B1E" w:rsidRPr="00B058AC" w:rsidRDefault="00982B1E" w:rsidP="00513768">
      <w:pPr>
        <w:jc w:val="both"/>
        <w:rPr>
          <w:i/>
        </w:rPr>
      </w:pPr>
      <w:r w:rsidRPr="00B058AC">
        <w:rPr>
          <w:i/>
        </w:rPr>
        <w:t>Нарушения со стороны сосудов:</w:t>
      </w:r>
    </w:p>
    <w:p w14:paraId="21BCBF21" w14:textId="40E4FB6B" w:rsidR="0060702B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редко – </w:t>
      </w:r>
      <w:r w:rsidR="00795A5C" w:rsidRPr="00B058AC">
        <w:rPr>
          <w:bCs/>
        </w:rPr>
        <w:t xml:space="preserve">артериальная гипотензия, </w:t>
      </w:r>
      <w:r w:rsidRPr="00B058AC">
        <w:rPr>
          <w:bCs/>
          <w:color w:val="000000"/>
        </w:rPr>
        <w:t>ортостатическая гипотензия</w:t>
      </w:r>
      <w:r w:rsidR="00471357" w:rsidRPr="00B058AC">
        <w:rPr>
          <w:bCs/>
          <w:color w:val="000000"/>
        </w:rPr>
        <w:t>,</w:t>
      </w:r>
      <w:r w:rsidRPr="00B058AC">
        <w:rPr>
          <w:bCs/>
          <w:color w:val="000000"/>
        </w:rPr>
        <w:t xml:space="preserve"> которая может сопровождаться общей слабостью, головокружением или потерей равновесия, особенно при одновременном приеме гипотензивных препаратов, «приливы» крови к коже лица. </w:t>
      </w:r>
    </w:p>
    <w:p w14:paraId="60FD2503" w14:textId="166E6E67" w:rsidR="0060702B" w:rsidRPr="00B058AC" w:rsidRDefault="00C77FAA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rPr>
          <w:i/>
        </w:rPr>
        <w:t>Желудочно-кишечные н</w:t>
      </w:r>
      <w:r w:rsidR="0060702B" w:rsidRPr="00B058AC">
        <w:rPr>
          <w:i/>
        </w:rPr>
        <w:t>арушения:</w:t>
      </w:r>
    </w:p>
    <w:p w14:paraId="6A81BDA0" w14:textId="3D1C7F44" w:rsidR="0060702B" w:rsidRPr="00B058AC" w:rsidRDefault="0060702B" w:rsidP="00513768">
      <w:pPr>
        <w:jc w:val="both"/>
        <w:rPr>
          <w:bCs/>
          <w:color w:val="000000"/>
        </w:rPr>
      </w:pPr>
      <w:r w:rsidRPr="00B058AC">
        <w:t xml:space="preserve">часто – </w:t>
      </w:r>
      <w:r w:rsidRPr="00B058AC">
        <w:rPr>
          <w:bCs/>
          <w:color w:val="000000"/>
        </w:rPr>
        <w:t>боль в животе, ди</w:t>
      </w:r>
      <w:r w:rsidR="008576A1">
        <w:rPr>
          <w:bCs/>
          <w:color w:val="000000"/>
        </w:rPr>
        <w:t>арея, диспепсия, тошнота, рвота;</w:t>
      </w:r>
    </w:p>
    <w:p w14:paraId="0E54A5A7" w14:textId="77777777" w:rsidR="0060702B" w:rsidRPr="00B058AC" w:rsidRDefault="0060702B" w:rsidP="00513768">
      <w:pPr>
        <w:jc w:val="both"/>
        <w:rPr>
          <w:bCs/>
          <w:color w:val="000000"/>
        </w:rPr>
      </w:pPr>
      <w:r w:rsidRPr="00B058AC">
        <w:t xml:space="preserve">частота неизвестна – </w:t>
      </w:r>
      <w:r w:rsidRPr="00B058AC">
        <w:rPr>
          <w:bCs/>
          <w:color w:val="000000"/>
        </w:rPr>
        <w:t>запор.</w:t>
      </w:r>
    </w:p>
    <w:p w14:paraId="6063BB2D" w14:textId="77777777" w:rsidR="00982B1E" w:rsidRPr="00B058AC" w:rsidRDefault="00982B1E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rPr>
          <w:i/>
        </w:rPr>
        <w:t>Нарушения со стороны печени и желчевыводящих путей:</w:t>
      </w:r>
    </w:p>
    <w:p w14:paraId="6D10A06F" w14:textId="77777777" w:rsidR="00982B1E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частота неизвестна – </w:t>
      </w:r>
      <w:r w:rsidRPr="00B058AC">
        <w:rPr>
          <w:bCs/>
          <w:color w:val="000000"/>
        </w:rPr>
        <w:t>гепатит.</w:t>
      </w:r>
    </w:p>
    <w:p w14:paraId="31E7C287" w14:textId="59690353" w:rsidR="00982B1E" w:rsidRPr="00B058AC" w:rsidRDefault="00982B1E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rPr>
          <w:i/>
        </w:rPr>
        <w:t>Нарушения со стороны кожи и подкожн</w:t>
      </w:r>
      <w:r w:rsidR="00C77FAA" w:rsidRPr="00B058AC">
        <w:rPr>
          <w:i/>
        </w:rPr>
        <w:t>ой</w:t>
      </w:r>
      <w:r w:rsidRPr="00B058AC">
        <w:rPr>
          <w:i/>
        </w:rPr>
        <w:t xml:space="preserve"> </w:t>
      </w:r>
      <w:r w:rsidR="00C77FAA" w:rsidRPr="00B058AC">
        <w:rPr>
          <w:i/>
        </w:rPr>
        <w:t>клетчатки</w:t>
      </w:r>
      <w:r w:rsidRPr="00B058AC">
        <w:rPr>
          <w:i/>
        </w:rPr>
        <w:t>:</w:t>
      </w:r>
    </w:p>
    <w:p w14:paraId="231E86CB" w14:textId="66ECC91F" w:rsidR="00982B1E" w:rsidRPr="00B058AC" w:rsidRDefault="00982B1E" w:rsidP="00513768">
      <w:pPr>
        <w:jc w:val="both"/>
        <w:rPr>
          <w:bCs/>
          <w:color w:val="000000"/>
        </w:rPr>
      </w:pPr>
      <w:r w:rsidRPr="00B058AC">
        <w:t>часто –</w:t>
      </w:r>
      <w:r w:rsidR="008576A1">
        <w:rPr>
          <w:bCs/>
          <w:color w:val="000000"/>
        </w:rPr>
        <w:t xml:space="preserve"> кожная сыпь, зуд, крапивница;</w:t>
      </w:r>
    </w:p>
    <w:p w14:paraId="6525D3BD" w14:textId="094B284D" w:rsidR="0060702B" w:rsidRPr="00B058AC" w:rsidRDefault="00982B1E" w:rsidP="00513768">
      <w:pPr>
        <w:jc w:val="both"/>
        <w:rPr>
          <w:bCs/>
          <w:color w:val="000000"/>
        </w:rPr>
      </w:pPr>
      <w:r w:rsidRPr="00B058AC">
        <w:t xml:space="preserve">частота неизвестна – </w:t>
      </w:r>
      <w:r w:rsidRPr="00B058AC">
        <w:rPr>
          <w:bCs/>
          <w:color w:val="000000"/>
        </w:rPr>
        <w:t>острый генерализованный экзантематозный пустулез, отек Квинке.</w:t>
      </w:r>
    </w:p>
    <w:p w14:paraId="7738EA20" w14:textId="4497BD66" w:rsidR="0060702B" w:rsidRPr="00B058AC" w:rsidRDefault="0060702B" w:rsidP="0051376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rPr>
          <w:i/>
        </w:rPr>
        <w:t>Общие нарушения и реакции в месте введения:</w:t>
      </w:r>
    </w:p>
    <w:p w14:paraId="5D7AC01D" w14:textId="77777777" w:rsidR="0060702B" w:rsidRPr="00B058AC" w:rsidRDefault="0060702B" w:rsidP="00513768">
      <w:pPr>
        <w:jc w:val="both"/>
        <w:rPr>
          <w:bCs/>
          <w:color w:val="000000"/>
        </w:rPr>
      </w:pPr>
      <w:r w:rsidRPr="00B058AC">
        <w:t xml:space="preserve">часто – </w:t>
      </w:r>
      <w:r w:rsidRPr="00B058AC">
        <w:rPr>
          <w:bCs/>
          <w:color w:val="000000"/>
        </w:rPr>
        <w:t>астения.</w:t>
      </w:r>
    </w:p>
    <w:p w14:paraId="4929075B" w14:textId="77777777" w:rsidR="0060702B" w:rsidRPr="00B058AC" w:rsidRDefault="0060702B" w:rsidP="00513768">
      <w:pPr>
        <w:jc w:val="both"/>
        <w:rPr>
          <w:bCs/>
          <w:color w:val="000000"/>
        </w:rPr>
      </w:pPr>
    </w:p>
    <w:p w14:paraId="460BFA56" w14:textId="77777777" w:rsidR="00A61436" w:rsidRPr="00B058AC" w:rsidRDefault="00A61436" w:rsidP="00513768">
      <w:pPr>
        <w:keepNext/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jc w:val="both"/>
        <w:rPr>
          <w:b/>
        </w:rPr>
      </w:pPr>
      <w:r w:rsidRPr="00B058AC">
        <w:rPr>
          <w:b/>
        </w:rPr>
        <w:t>Передозировка</w:t>
      </w:r>
    </w:p>
    <w:p w14:paraId="548F8BA2" w14:textId="77777777" w:rsidR="00A61436" w:rsidRPr="00B058AC" w:rsidRDefault="00A61436" w:rsidP="00513768">
      <w:pPr>
        <w:widowControl w:val="0"/>
        <w:jc w:val="both"/>
        <w:rPr>
          <w:color w:val="000000"/>
        </w:rPr>
      </w:pPr>
      <w:r w:rsidRPr="00B058AC">
        <w:rPr>
          <w:color w:val="000000"/>
        </w:rPr>
        <w:t>Имеется лишь очень ограниченная информация о передозировке триметазидина. В случае передозировки следует проводить симптоматическую терапию.</w:t>
      </w:r>
    </w:p>
    <w:p w14:paraId="21ECB040" w14:textId="77777777" w:rsidR="0060702B" w:rsidRPr="00B058AC" w:rsidRDefault="0060702B" w:rsidP="00513768">
      <w:pPr>
        <w:jc w:val="both"/>
        <w:rPr>
          <w:bCs/>
          <w:color w:val="000000"/>
        </w:rPr>
      </w:pPr>
    </w:p>
    <w:p w14:paraId="10325E65" w14:textId="77777777" w:rsidR="00A61436" w:rsidRPr="00B058AC" w:rsidRDefault="00A61436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b/>
        </w:rPr>
      </w:pPr>
      <w:r w:rsidRPr="00B058AC">
        <w:rPr>
          <w:b/>
        </w:rPr>
        <w:t>Взаимодействие с другими лекарственными средствами</w:t>
      </w:r>
    </w:p>
    <w:p w14:paraId="775C05AE" w14:textId="7833A40F" w:rsidR="00CA0423" w:rsidRDefault="00CA0423" w:rsidP="00513768">
      <w:pPr>
        <w:pStyle w:val="1"/>
        <w:shd w:val="clear" w:color="auto" w:fill="auto"/>
        <w:spacing w:after="0" w:line="240" w:lineRule="auto"/>
        <w:ind w:left="20"/>
        <w:jc w:val="both"/>
        <w:rPr>
          <w:color w:val="000000"/>
          <w:sz w:val="24"/>
          <w:szCs w:val="24"/>
          <w:lang w:eastAsia="ru-RU"/>
        </w:rPr>
      </w:pPr>
      <w:r w:rsidRPr="00B058AC">
        <w:rPr>
          <w:color w:val="000000"/>
          <w:sz w:val="24"/>
          <w:szCs w:val="24"/>
          <w:lang w:eastAsia="ru-RU"/>
        </w:rPr>
        <w:t xml:space="preserve">Не </w:t>
      </w:r>
      <w:r w:rsidR="00795A5C" w:rsidRPr="00B058AC">
        <w:rPr>
          <w:color w:val="000000"/>
          <w:sz w:val="24"/>
          <w:szCs w:val="24"/>
          <w:lang w:eastAsia="ru-RU"/>
        </w:rPr>
        <w:t>было выявлено взаимодействий с другими лекарственными средствами</w:t>
      </w:r>
      <w:r w:rsidRPr="00B058AC">
        <w:rPr>
          <w:color w:val="000000"/>
          <w:sz w:val="24"/>
          <w:szCs w:val="24"/>
          <w:lang w:eastAsia="ru-RU"/>
        </w:rPr>
        <w:t>. Пациент должен сообщить врачу обо всех принимаемых препаратах.</w:t>
      </w:r>
    </w:p>
    <w:p w14:paraId="7029D0E0" w14:textId="77777777" w:rsidR="00B058AC" w:rsidRPr="00B058AC" w:rsidRDefault="00B058AC" w:rsidP="00513768">
      <w:pPr>
        <w:pStyle w:val="1"/>
        <w:shd w:val="clear" w:color="auto" w:fill="auto"/>
        <w:spacing w:after="0" w:line="240" w:lineRule="auto"/>
        <w:ind w:left="20"/>
        <w:jc w:val="both"/>
        <w:rPr>
          <w:color w:val="000000"/>
          <w:sz w:val="24"/>
          <w:szCs w:val="24"/>
          <w:lang w:eastAsia="ru-RU"/>
        </w:rPr>
      </w:pPr>
    </w:p>
    <w:p w14:paraId="2052DEDF" w14:textId="77777777" w:rsidR="00CA0423" w:rsidRPr="00B058AC" w:rsidRDefault="00CA0423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b/>
        </w:rPr>
      </w:pPr>
      <w:r w:rsidRPr="00B058AC">
        <w:rPr>
          <w:b/>
        </w:rPr>
        <w:t>Особые указания</w:t>
      </w:r>
    </w:p>
    <w:p w14:paraId="263CD1D4" w14:textId="1A15CE92" w:rsidR="00CA0423" w:rsidRPr="00B058AC" w:rsidRDefault="00B5525E" w:rsidP="00513768">
      <w:pPr>
        <w:jc w:val="both"/>
        <w:rPr>
          <w:bCs/>
          <w:color w:val="000000"/>
        </w:rPr>
      </w:pPr>
      <w:r>
        <w:rPr>
          <w:bCs/>
          <w:color w:val="000000"/>
        </w:rPr>
        <w:t>Препарат</w:t>
      </w:r>
      <w:r w:rsidR="009C7B7A" w:rsidRPr="00B058AC">
        <w:rPr>
          <w:bCs/>
          <w:color w:val="000000"/>
        </w:rPr>
        <w:t xml:space="preserve"> </w:t>
      </w:r>
      <w:r w:rsidR="00CA0423" w:rsidRPr="00B058AC">
        <w:rPr>
          <w:bCs/>
          <w:color w:val="000000"/>
        </w:rPr>
        <w:t>не предназначен для купирования приступов стенокардии и не показан для начального курса терапии нестабильной стенокардии или инфаркта миокарда на догоспитальном этапе или в первые дни госпитализации.</w:t>
      </w:r>
    </w:p>
    <w:p w14:paraId="064A6A11" w14:textId="43ECCEE0" w:rsidR="00CA0423" w:rsidRPr="00B058AC" w:rsidRDefault="00CA0423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В случае развития приступа стенокардии следует </w:t>
      </w:r>
      <w:r w:rsidR="009A52B7" w:rsidRPr="00B058AC">
        <w:rPr>
          <w:bCs/>
          <w:color w:val="000000"/>
        </w:rPr>
        <w:t>вновь оценить степень поражения коронарных артерий и, при необходимости</w:t>
      </w:r>
      <w:r w:rsidR="007B58BB">
        <w:rPr>
          <w:bCs/>
          <w:color w:val="000000"/>
        </w:rPr>
        <w:t>,</w:t>
      </w:r>
      <w:r w:rsidR="009A52B7" w:rsidRPr="00B058AC">
        <w:rPr>
          <w:bCs/>
          <w:color w:val="000000"/>
        </w:rPr>
        <w:t xml:space="preserve"> </w:t>
      </w:r>
      <w:r w:rsidRPr="00B058AC">
        <w:rPr>
          <w:bCs/>
          <w:color w:val="000000"/>
        </w:rPr>
        <w:t xml:space="preserve">адаптировать лечение (лекарственную терапию или </w:t>
      </w:r>
      <w:r w:rsidR="009A52B7" w:rsidRPr="00B058AC">
        <w:rPr>
          <w:bCs/>
          <w:color w:val="000000"/>
        </w:rPr>
        <w:t xml:space="preserve">возможное </w:t>
      </w:r>
      <w:r w:rsidRPr="00B058AC">
        <w:rPr>
          <w:bCs/>
          <w:color w:val="000000"/>
        </w:rPr>
        <w:t xml:space="preserve">проведение процедуры реваскуляризации). </w:t>
      </w:r>
      <w:r w:rsidR="00471357" w:rsidRPr="00B058AC">
        <w:rPr>
          <w:bCs/>
          <w:color w:val="000000"/>
        </w:rPr>
        <w:t>Триметазидин</w:t>
      </w:r>
      <w:r w:rsidRPr="00B058AC">
        <w:rPr>
          <w:bCs/>
          <w:color w:val="000000"/>
        </w:rPr>
        <w:t xml:space="preserve"> может вызывать или ухудшать симптомы паркинсонизма (тремор, акинезию, повышение тонуса), поэтому следует проводить регулярное наблюдение пациентов, особенно пожилого </w:t>
      </w:r>
      <w:r w:rsidRPr="00B058AC">
        <w:rPr>
          <w:bCs/>
          <w:color w:val="000000"/>
        </w:rPr>
        <w:lastRenderedPageBreak/>
        <w:t>возраста. В сомнительных случаях пациенты должны быть направлены к неврологу для соответствующего обследования.</w:t>
      </w:r>
    </w:p>
    <w:p w14:paraId="6FD3BC8E" w14:textId="78D27FFE" w:rsidR="00CA0423" w:rsidRPr="00B058AC" w:rsidRDefault="00CA0423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При появлении двигательных нарушений, таких как симптомы паркинсонизма, синдром «беспокойных ног», тремор, «шаткость» походки, </w:t>
      </w:r>
      <w:r w:rsidR="00B5525E">
        <w:rPr>
          <w:bCs/>
          <w:color w:val="000000"/>
        </w:rPr>
        <w:t>препарат</w:t>
      </w:r>
      <w:r w:rsidRPr="00B058AC">
        <w:rPr>
          <w:bCs/>
          <w:color w:val="000000"/>
        </w:rPr>
        <w:t xml:space="preserve"> следует окончательно отменить.</w:t>
      </w:r>
    </w:p>
    <w:p w14:paraId="28F57E23" w14:textId="13FDAEA1" w:rsidR="00CA0423" w:rsidRPr="00B058AC" w:rsidRDefault="00CA0423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Такие случаи редки и симптомы обычно проходят после прекращения терапии: у большинства пациентов </w:t>
      </w:r>
      <w:r w:rsidR="001664B0">
        <w:rPr>
          <w:bCs/>
          <w:color w:val="000000"/>
        </w:rPr>
        <w:t>–</w:t>
      </w:r>
      <w:r w:rsidRPr="00B058AC">
        <w:rPr>
          <w:bCs/>
          <w:color w:val="000000"/>
        </w:rPr>
        <w:t xml:space="preserve"> в течение 4 месяцев после отмены </w:t>
      </w:r>
      <w:r w:rsidR="00471357" w:rsidRPr="00B058AC">
        <w:rPr>
          <w:bCs/>
          <w:color w:val="000000"/>
        </w:rPr>
        <w:t>препарата</w:t>
      </w:r>
      <w:r w:rsidRPr="00B058AC">
        <w:rPr>
          <w:bCs/>
          <w:color w:val="000000"/>
        </w:rPr>
        <w:t>. Если симптомы паркинсонизма сохраняются более 4 месяцев после отмены, следует проконсультироваться у невролога.</w:t>
      </w:r>
    </w:p>
    <w:p w14:paraId="6CF4C394" w14:textId="00FAB509" w:rsidR="00CA0423" w:rsidRPr="00B058AC" w:rsidRDefault="00CA0423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Могут отмечаться случаи падения, связанные с неустойчивостью походки или </w:t>
      </w:r>
      <w:r w:rsidR="009A52B7" w:rsidRPr="00B058AC">
        <w:rPr>
          <w:bCs/>
          <w:color w:val="000000"/>
        </w:rPr>
        <w:t>артериальной гипотензией</w:t>
      </w:r>
      <w:r w:rsidRPr="00B058AC">
        <w:rPr>
          <w:bCs/>
          <w:color w:val="000000"/>
        </w:rPr>
        <w:t xml:space="preserve">, особенно, у пациентов, принимающих гипотензивные препараты (см. раздел «Побочное действие»). Следует с осторожностью назначать </w:t>
      </w:r>
      <w:r w:rsidR="00B5525E">
        <w:rPr>
          <w:bCs/>
          <w:color w:val="000000"/>
        </w:rPr>
        <w:t>препарат</w:t>
      </w:r>
      <w:r w:rsidR="00B7608D" w:rsidRPr="00B058AC">
        <w:rPr>
          <w:bCs/>
          <w:color w:val="000000"/>
        </w:rPr>
        <w:t xml:space="preserve"> </w:t>
      </w:r>
      <w:r w:rsidRPr="00B058AC">
        <w:rPr>
          <w:bCs/>
          <w:color w:val="000000"/>
        </w:rPr>
        <w:t>пациентам, у которых возможно повышение его экспозиции:</w:t>
      </w:r>
    </w:p>
    <w:p w14:paraId="04FFEDD2" w14:textId="77777777" w:rsidR="00CA0423" w:rsidRPr="00B058AC" w:rsidRDefault="00CA0423" w:rsidP="001664B0">
      <w:pPr>
        <w:pStyle w:val="a3"/>
        <w:numPr>
          <w:ilvl w:val="0"/>
          <w:numId w:val="6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при умеренной почечной недостаточности (см. разделы «Фармакологические свойства» и «Способ применения и дозы»).</w:t>
      </w:r>
    </w:p>
    <w:p w14:paraId="695337E0" w14:textId="77777777" w:rsidR="00CA0423" w:rsidRPr="00B058AC" w:rsidRDefault="00CA0423" w:rsidP="001664B0">
      <w:pPr>
        <w:pStyle w:val="a3"/>
        <w:numPr>
          <w:ilvl w:val="0"/>
          <w:numId w:val="6"/>
        </w:numPr>
        <w:ind w:left="284" w:hanging="284"/>
        <w:jc w:val="both"/>
        <w:rPr>
          <w:bCs/>
          <w:color w:val="000000"/>
        </w:rPr>
      </w:pPr>
      <w:r w:rsidRPr="00B058AC">
        <w:rPr>
          <w:bCs/>
          <w:color w:val="000000"/>
        </w:rPr>
        <w:t>у пожилых пациентов старше 75 лет (см. раздел «Способ применения и дозы»).</w:t>
      </w:r>
    </w:p>
    <w:p w14:paraId="38937B1F" w14:textId="3F4E6798" w:rsidR="00B7608D" w:rsidRPr="00B058AC" w:rsidRDefault="00B7608D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Ввиду лекарственной формы препарата </w:t>
      </w:r>
      <w:r w:rsidR="00B5525E">
        <w:rPr>
          <w:bCs/>
          <w:color w:val="000000"/>
        </w:rPr>
        <w:t>«</w:t>
      </w:r>
      <w:r w:rsidRPr="00B058AC">
        <w:rPr>
          <w:bCs/>
          <w:color w:val="000000"/>
        </w:rPr>
        <w:t xml:space="preserve">таблетки </w:t>
      </w:r>
      <w:r w:rsidRPr="00B058AC">
        <w:t>с пролонгированным высвобождением, покрытые пленочной оболочкой</w:t>
      </w:r>
      <w:r w:rsidR="00B5525E">
        <w:t>»</w:t>
      </w:r>
      <w:r w:rsidRPr="00B058AC">
        <w:t>, гелеобразный каркас таблетки препарата может не раствориться в кишечнике и выделиться с калом, что не влияет на терапевтическую эффективность препарата.</w:t>
      </w:r>
    </w:p>
    <w:p w14:paraId="0CE71993" w14:textId="77777777" w:rsidR="004D3F11" w:rsidRPr="00B058AC" w:rsidRDefault="004D3F11" w:rsidP="00513768">
      <w:pPr>
        <w:jc w:val="both"/>
        <w:rPr>
          <w:bCs/>
          <w:color w:val="000000"/>
        </w:rPr>
      </w:pPr>
    </w:p>
    <w:p w14:paraId="18CCD08E" w14:textId="77777777" w:rsidR="00CA0423" w:rsidRPr="00B058AC" w:rsidRDefault="00CA0423" w:rsidP="00513768">
      <w:pPr>
        <w:keepNext/>
        <w:widowControl w:val="0"/>
        <w:jc w:val="both"/>
        <w:rPr>
          <w:b/>
          <w:bCs/>
          <w:color w:val="000000"/>
        </w:rPr>
      </w:pPr>
      <w:r w:rsidRPr="00B058AC">
        <w:rPr>
          <w:b/>
          <w:bCs/>
          <w:color w:val="000000"/>
        </w:rPr>
        <w:t>Влияние на способность к управлению транспортными средствами и механизмами</w:t>
      </w:r>
    </w:p>
    <w:p w14:paraId="04699B40" w14:textId="77777777" w:rsidR="004D3F11" w:rsidRPr="00B058AC" w:rsidRDefault="008859FE" w:rsidP="00513768">
      <w:pPr>
        <w:jc w:val="both"/>
        <w:rPr>
          <w:bCs/>
          <w:color w:val="000000"/>
        </w:rPr>
      </w:pPr>
      <w:r w:rsidRPr="00B058AC">
        <w:rPr>
          <w:bCs/>
          <w:color w:val="000000"/>
        </w:rPr>
        <w:t xml:space="preserve">В ходе клинических исследований не было выявлено влияния триметазидина на показатели </w:t>
      </w:r>
      <w:r w:rsidRPr="002F760B">
        <w:rPr>
          <w:bCs/>
          <w:color w:val="000000"/>
        </w:rPr>
        <w:t>гемодинамики, однако, в период пострегистрационного применения, наблюдались случаи</w:t>
      </w:r>
      <w:r w:rsidRPr="00B058AC">
        <w:rPr>
          <w:bCs/>
          <w:color w:val="000000"/>
        </w:rPr>
        <w:t xml:space="preserve"> </w:t>
      </w:r>
      <w:r w:rsidRPr="002F760B">
        <w:rPr>
          <w:bCs/>
          <w:color w:val="000000"/>
        </w:rPr>
        <w:t>головокружения и сонливости (см. раздел «Побочное действие»), что может повлиять на</w:t>
      </w:r>
      <w:r w:rsidRPr="00B058AC">
        <w:rPr>
          <w:bCs/>
          <w:color w:val="000000"/>
        </w:rPr>
        <w:t xml:space="preserve"> способность к управлению транспортными средствами и механизмами.</w:t>
      </w:r>
    </w:p>
    <w:p w14:paraId="62759A8C" w14:textId="77777777" w:rsidR="00AB593F" w:rsidRPr="00B058AC" w:rsidRDefault="00AB593F" w:rsidP="00513768">
      <w:pPr>
        <w:jc w:val="both"/>
        <w:rPr>
          <w:bCs/>
          <w:color w:val="000000"/>
        </w:rPr>
      </w:pPr>
    </w:p>
    <w:p w14:paraId="54B6E4D2" w14:textId="77777777" w:rsidR="008859FE" w:rsidRPr="00B058AC" w:rsidRDefault="008859FE" w:rsidP="00513768">
      <w:pPr>
        <w:keepNext/>
        <w:widowControl w:val="0"/>
        <w:shd w:val="clear" w:color="auto" w:fill="FFFFFF"/>
        <w:tabs>
          <w:tab w:val="left" w:pos="8971"/>
        </w:tabs>
        <w:autoSpaceDE w:val="0"/>
        <w:autoSpaceDN w:val="0"/>
        <w:adjustRightInd w:val="0"/>
        <w:jc w:val="both"/>
        <w:rPr>
          <w:b/>
        </w:rPr>
      </w:pPr>
      <w:r w:rsidRPr="00B058AC">
        <w:rPr>
          <w:b/>
        </w:rPr>
        <w:t>Форма выпуска</w:t>
      </w:r>
    </w:p>
    <w:p w14:paraId="07751EB7" w14:textId="77777777" w:rsidR="00B7608D" w:rsidRPr="00B058AC" w:rsidRDefault="00B7608D" w:rsidP="00513768">
      <w:pPr>
        <w:pStyle w:val="21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58AC">
        <w:rPr>
          <w:rFonts w:ascii="Times New Roman" w:hAnsi="Times New Roman"/>
          <w:sz w:val="24"/>
          <w:szCs w:val="24"/>
        </w:rPr>
        <w:t>Таблетки</w:t>
      </w:r>
      <w:r w:rsidR="001909B4" w:rsidRPr="00B058AC">
        <w:rPr>
          <w:rFonts w:ascii="Times New Roman" w:hAnsi="Times New Roman"/>
          <w:sz w:val="24"/>
          <w:szCs w:val="24"/>
        </w:rPr>
        <w:t xml:space="preserve"> с пролонгированным высвобождением, покрытые пленочной оболочкой,</w:t>
      </w:r>
      <w:r w:rsidRPr="00B058AC">
        <w:rPr>
          <w:rFonts w:ascii="Times New Roman" w:hAnsi="Times New Roman"/>
          <w:sz w:val="24"/>
          <w:szCs w:val="24"/>
        </w:rPr>
        <w:t xml:space="preserve"> 80 мг.</w:t>
      </w:r>
    </w:p>
    <w:p w14:paraId="3327FE77" w14:textId="7CF10C1F" w:rsidR="00B7608D" w:rsidRPr="00B058AC" w:rsidRDefault="00DA3448" w:rsidP="00513768">
      <w:pPr>
        <w:pStyle w:val="21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или </w:t>
      </w:r>
      <w:r w:rsidR="00B7608D" w:rsidRPr="00B058AC">
        <w:rPr>
          <w:rFonts w:ascii="Times New Roman" w:hAnsi="Times New Roman"/>
          <w:sz w:val="24"/>
          <w:szCs w:val="24"/>
        </w:rPr>
        <w:t xml:space="preserve">30 таблеток в контурной ячейковой упаковке из пленки поливинилхлоридной </w:t>
      </w:r>
      <w:r w:rsidR="000B6D34">
        <w:rPr>
          <w:rFonts w:ascii="Times New Roman" w:hAnsi="Times New Roman"/>
          <w:sz w:val="24"/>
          <w:szCs w:val="24"/>
        </w:rPr>
        <w:t xml:space="preserve">или поливинилхлоридной/поливинилиденхлоридной </w:t>
      </w:r>
      <w:r w:rsidR="00B7608D" w:rsidRPr="00B058AC">
        <w:rPr>
          <w:rFonts w:ascii="Times New Roman" w:hAnsi="Times New Roman"/>
          <w:sz w:val="24"/>
          <w:szCs w:val="24"/>
        </w:rPr>
        <w:t>и фольги алюминиевой.</w:t>
      </w:r>
    </w:p>
    <w:p w14:paraId="7A398CEB" w14:textId="3B209472" w:rsidR="001E7546" w:rsidRPr="00B058AC" w:rsidRDefault="001E7546" w:rsidP="00513768">
      <w:pPr>
        <w:pStyle w:val="21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58AC">
        <w:rPr>
          <w:rFonts w:ascii="Times New Roman" w:hAnsi="Times New Roman"/>
          <w:sz w:val="24"/>
          <w:szCs w:val="24"/>
        </w:rPr>
        <w:t>30 или 60 таблеток в банке из полиэтилена высокой плотности.</w:t>
      </w:r>
    </w:p>
    <w:p w14:paraId="2059E69C" w14:textId="26AE69A8" w:rsidR="00B7608D" w:rsidRPr="00B058AC" w:rsidRDefault="00DA3448" w:rsidP="00513768">
      <w:pPr>
        <w:pStyle w:val="21"/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58AC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6</w:t>
      </w:r>
      <w:r w:rsidRPr="00B058AC">
        <w:rPr>
          <w:rFonts w:ascii="Times New Roman" w:hAnsi="Times New Roman"/>
          <w:sz w:val="24"/>
          <w:szCs w:val="24"/>
        </w:rPr>
        <w:t xml:space="preserve"> контурны</w:t>
      </w:r>
      <w:r>
        <w:rPr>
          <w:rFonts w:ascii="Times New Roman" w:hAnsi="Times New Roman"/>
          <w:sz w:val="24"/>
          <w:szCs w:val="24"/>
        </w:rPr>
        <w:t>х</w:t>
      </w:r>
      <w:r w:rsidRPr="00B058AC">
        <w:rPr>
          <w:rFonts w:ascii="Times New Roman" w:hAnsi="Times New Roman"/>
          <w:sz w:val="24"/>
          <w:szCs w:val="24"/>
        </w:rPr>
        <w:t xml:space="preserve"> ячейковы</w:t>
      </w:r>
      <w:r>
        <w:rPr>
          <w:rFonts w:ascii="Times New Roman" w:hAnsi="Times New Roman"/>
          <w:sz w:val="24"/>
          <w:szCs w:val="24"/>
        </w:rPr>
        <w:t>х</w:t>
      </w:r>
      <w:r w:rsidRPr="00B058AC">
        <w:rPr>
          <w:rFonts w:ascii="Times New Roman" w:hAnsi="Times New Roman"/>
          <w:sz w:val="24"/>
          <w:szCs w:val="24"/>
        </w:rPr>
        <w:t xml:space="preserve"> упаков</w:t>
      </w:r>
      <w:r>
        <w:rPr>
          <w:rFonts w:ascii="Times New Roman" w:hAnsi="Times New Roman"/>
          <w:sz w:val="24"/>
          <w:szCs w:val="24"/>
        </w:rPr>
        <w:t>о</w:t>
      </w:r>
      <w:r w:rsidRPr="00B058A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 10 таблеток, </w:t>
      </w:r>
      <w:r w:rsidR="00B7608D" w:rsidRPr="00B058AC">
        <w:rPr>
          <w:rFonts w:ascii="Times New Roman" w:hAnsi="Times New Roman"/>
          <w:sz w:val="24"/>
          <w:szCs w:val="24"/>
        </w:rPr>
        <w:t xml:space="preserve">1 </w:t>
      </w:r>
      <w:r w:rsidR="001E7546" w:rsidRPr="00B058AC">
        <w:rPr>
          <w:rFonts w:ascii="Times New Roman" w:hAnsi="Times New Roman"/>
          <w:sz w:val="24"/>
          <w:szCs w:val="24"/>
        </w:rPr>
        <w:t>или 2</w:t>
      </w:r>
      <w:r w:rsidR="00B7608D" w:rsidRPr="00B058AC">
        <w:rPr>
          <w:rFonts w:ascii="Times New Roman" w:hAnsi="Times New Roman"/>
          <w:sz w:val="24"/>
          <w:szCs w:val="24"/>
        </w:rPr>
        <w:t xml:space="preserve"> контурны</w:t>
      </w:r>
      <w:r w:rsidR="001E7546" w:rsidRPr="00B058AC">
        <w:rPr>
          <w:rFonts w:ascii="Times New Roman" w:hAnsi="Times New Roman"/>
          <w:sz w:val="24"/>
          <w:szCs w:val="24"/>
        </w:rPr>
        <w:t>е</w:t>
      </w:r>
      <w:r w:rsidR="00B7608D" w:rsidRPr="00B058AC">
        <w:rPr>
          <w:rFonts w:ascii="Times New Roman" w:hAnsi="Times New Roman"/>
          <w:sz w:val="24"/>
          <w:szCs w:val="24"/>
        </w:rPr>
        <w:t xml:space="preserve"> ячейковы</w:t>
      </w:r>
      <w:r w:rsidR="001E7546" w:rsidRPr="00B058AC">
        <w:rPr>
          <w:rFonts w:ascii="Times New Roman" w:hAnsi="Times New Roman"/>
          <w:sz w:val="24"/>
          <w:szCs w:val="24"/>
        </w:rPr>
        <w:t>е</w:t>
      </w:r>
      <w:r w:rsidR="00B7608D" w:rsidRPr="00B058AC">
        <w:rPr>
          <w:rFonts w:ascii="Times New Roman" w:hAnsi="Times New Roman"/>
          <w:sz w:val="24"/>
          <w:szCs w:val="24"/>
        </w:rPr>
        <w:t xml:space="preserve"> упаковк</w:t>
      </w:r>
      <w:r w:rsidR="001E7546" w:rsidRPr="00B058AC">
        <w:rPr>
          <w:rFonts w:ascii="Times New Roman" w:hAnsi="Times New Roman"/>
          <w:sz w:val="24"/>
          <w:szCs w:val="24"/>
        </w:rPr>
        <w:t>и</w:t>
      </w:r>
      <w:r w:rsidR="00B7608D" w:rsidRPr="00B05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30 таблеток </w:t>
      </w:r>
      <w:r w:rsidR="001E7546" w:rsidRPr="00B058AC">
        <w:rPr>
          <w:rFonts w:ascii="Times New Roman" w:hAnsi="Times New Roman"/>
          <w:sz w:val="24"/>
          <w:szCs w:val="24"/>
        </w:rPr>
        <w:t xml:space="preserve">или одна банка </w:t>
      </w:r>
      <w:r w:rsidR="00B7608D" w:rsidRPr="00B058AC">
        <w:rPr>
          <w:rFonts w:ascii="Times New Roman" w:hAnsi="Times New Roman"/>
          <w:sz w:val="24"/>
          <w:szCs w:val="24"/>
        </w:rPr>
        <w:t>вместе с инструкцией по применению в пачке из картона.</w:t>
      </w:r>
    </w:p>
    <w:p w14:paraId="33F0BE2C" w14:textId="77777777" w:rsidR="00CF1601" w:rsidRPr="00B058AC" w:rsidRDefault="00CF1601" w:rsidP="00513768">
      <w:pPr>
        <w:keepNext/>
        <w:widowControl w:val="0"/>
        <w:shd w:val="clear" w:color="auto" w:fill="FFFFFF"/>
        <w:tabs>
          <w:tab w:val="left" w:pos="8971"/>
        </w:tabs>
        <w:autoSpaceDE w:val="0"/>
        <w:autoSpaceDN w:val="0"/>
        <w:adjustRightInd w:val="0"/>
        <w:jc w:val="both"/>
      </w:pPr>
    </w:p>
    <w:p w14:paraId="35BC6D1C" w14:textId="77777777" w:rsidR="008859FE" w:rsidRPr="00B058AC" w:rsidRDefault="008859FE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b/>
        </w:rPr>
      </w:pPr>
      <w:r w:rsidRPr="00B058AC">
        <w:rPr>
          <w:b/>
        </w:rPr>
        <w:t>Условия хранения</w:t>
      </w:r>
    </w:p>
    <w:p w14:paraId="18B29DD2" w14:textId="5DF7CAEF" w:rsidR="00235904" w:rsidRPr="00B058AC" w:rsidRDefault="00235904" w:rsidP="00513768">
      <w:pPr>
        <w:widowControl w:val="0"/>
        <w:jc w:val="both"/>
        <w:rPr>
          <w:snapToGrid w:val="0"/>
        </w:rPr>
      </w:pPr>
      <w:r w:rsidRPr="00B058AC">
        <w:rPr>
          <w:snapToGrid w:val="0"/>
        </w:rPr>
        <w:t>Хранить при температуре не выше 25°</w:t>
      </w:r>
      <w:r w:rsidR="001664B0">
        <w:rPr>
          <w:snapToGrid w:val="0"/>
        </w:rPr>
        <w:t> </w:t>
      </w:r>
      <w:r w:rsidRPr="00B058AC">
        <w:rPr>
          <w:snapToGrid w:val="0"/>
        </w:rPr>
        <w:t>С.</w:t>
      </w:r>
    </w:p>
    <w:p w14:paraId="175D422E" w14:textId="77777777" w:rsidR="00235904" w:rsidRPr="00B058AC" w:rsidRDefault="00235904" w:rsidP="00513768">
      <w:pPr>
        <w:widowControl w:val="0"/>
        <w:jc w:val="both"/>
        <w:rPr>
          <w:snapToGrid w:val="0"/>
        </w:rPr>
      </w:pPr>
      <w:r w:rsidRPr="00B058AC">
        <w:rPr>
          <w:snapToGrid w:val="0"/>
        </w:rPr>
        <w:t>Хранить в недоступном для детей месте.</w:t>
      </w:r>
    </w:p>
    <w:p w14:paraId="6FC09DB9" w14:textId="77777777" w:rsidR="00235904" w:rsidRPr="00B058AC" w:rsidRDefault="00235904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</w:p>
    <w:p w14:paraId="4B6FB931" w14:textId="77777777" w:rsidR="008859FE" w:rsidRPr="00B058AC" w:rsidRDefault="008859FE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b/>
        </w:rPr>
      </w:pPr>
      <w:r w:rsidRPr="00B058AC">
        <w:rPr>
          <w:b/>
        </w:rPr>
        <w:t>Срок годности</w:t>
      </w:r>
    </w:p>
    <w:p w14:paraId="182077BA" w14:textId="77777777" w:rsidR="00CF1601" w:rsidRPr="00B058AC" w:rsidRDefault="00235904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color w:val="000000"/>
        </w:rPr>
      </w:pPr>
      <w:r w:rsidRPr="00B058AC">
        <w:rPr>
          <w:color w:val="000000"/>
        </w:rPr>
        <w:t>2 года.</w:t>
      </w:r>
    </w:p>
    <w:p w14:paraId="309DD5C4" w14:textId="77777777" w:rsidR="00235904" w:rsidRPr="00B058AC" w:rsidRDefault="00235904" w:rsidP="00513768">
      <w:pPr>
        <w:pStyle w:val="a4"/>
        <w:spacing w:line="240" w:lineRule="auto"/>
        <w:jc w:val="both"/>
        <w:rPr>
          <w:szCs w:val="24"/>
        </w:rPr>
      </w:pPr>
      <w:r w:rsidRPr="00B058AC">
        <w:rPr>
          <w:szCs w:val="24"/>
        </w:rPr>
        <w:t>Не применять по истечении срока годности.</w:t>
      </w:r>
    </w:p>
    <w:p w14:paraId="321E86B6" w14:textId="77777777" w:rsidR="00235904" w:rsidRPr="00B058AC" w:rsidRDefault="00235904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</w:p>
    <w:p w14:paraId="5822CB08" w14:textId="77777777" w:rsidR="008859FE" w:rsidRPr="00B058AC" w:rsidRDefault="008859FE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b/>
        </w:rPr>
      </w:pPr>
      <w:r w:rsidRPr="00B058AC">
        <w:rPr>
          <w:b/>
        </w:rPr>
        <w:t>Условия отпуска</w:t>
      </w:r>
    </w:p>
    <w:p w14:paraId="49D3E6B8" w14:textId="5BAA1DC0" w:rsidR="00CF1601" w:rsidRPr="00B058AC" w:rsidRDefault="00CF1601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  <w:r w:rsidRPr="00B058AC">
        <w:t>Отпускают по рецепту</w:t>
      </w:r>
      <w:r w:rsidR="001664B0">
        <w:t>.</w:t>
      </w:r>
    </w:p>
    <w:p w14:paraId="61470180" w14:textId="77777777" w:rsidR="00CF1601" w:rsidRPr="00B058AC" w:rsidRDefault="00CF1601" w:rsidP="00513768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</w:pPr>
    </w:p>
    <w:p w14:paraId="7C117179" w14:textId="77777777" w:rsidR="008859FE" w:rsidRPr="00B058AC" w:rsidRDefault="008859FE" w:rsidP="00513768">
      <w:pPr>
        <w:keepNext/>
        <w:widowControl w:val="0"/>
        <w:jc w:val="both"/>
        <w:rPr>
          <w:b/>
        </w:rPr>
      </w:pPr>
      <w:r w:rsidRPr="00B058AC">
        <w:rPr>
          <w:b/>
        </w:rPr>
        <w:t>Юридическое лицо, на имя которого выдано регистрационное удостоверение</w:t>
      </w:r>
    </w:p>
    <w:p w14:paraId="443B3754" w14:textId="77777777" w:rsidR="008859FE" w:rsidRPr="00B058AC" w:rsidRDefault="008859FE" w:rsidP="00513768">
      <w:pPr>
        <w:widowControl w:val="0"/>
        <w:jc w:val="both"/>
      </w:pPr>
      <w:r w:rsidRPr="00B058AC">
        <w:t>АО «ВЕРТЕКС», Россия</w:t>
      </w:r>
    </w:p>
    <w:p w14:paraId="2EC65B79" w14:textId="77777777" w:rsidR="008859FE" w:rsidRPr="00B058AC" w:rsidRDefault="008859FE" w:rsidP="00513768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</w:pPr>
      <w:r w:rsidRPr="00B058AC">
        <w:t>Юридический адрес: 197350, г. Санкт-Петербург, Дорога в Каменку, д. 62, лит. А.</w:t>
      </w:r>
    </w:p>
    <w:p w14:paraId="0AAFEF27" w14:textId="77777777" w:rsidR="008859FE" w:rsidRPr="00B058AC" w:rsidRDefault="008859FE" w:rsidP="00513768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</w:pPr>
    </w:p>
    <w:p w14:paraId="1A765581" w14:textId="77777777" w:rsidR="008859FE" w:rsidRPr="00B058AC" w:rsidRDefault="008859FE" w:rsidP="00513768">
      <w:pPr>
        <w:keepNext/>
        <w:widowControl w:val="0"/>
        <w:jc w:val="both"/>
        <w:rPr>
          <w:b/>
        </w:rPr>
      </w:pPr>
      <w:r w:rsidRPr="00B058AC">
        <w:rPr>
          <w:b/>
        </w:rPr>
        <w:lastRenderedPageBreak/>
        <w:t>Производитель</w:t>
      </w:r>
    </w:p>
    <w:p w14:paraId="48BB0164" w14:textId="77777777" w:rsidR="008859FE" w:rsidRPr="00B058AC" w:rsidRDefault="008859FE" w:rsidP="00513768">
      <w:pPr>
        <w:widowControl w:val="0"/>
        <w:jc w:val="both"/>
      </w:pPr>
      <w:r w:rsidRPr="00B058AC">
        <w:t>АО «ВЕРТЕКС», Россия</w:t>
      </w:r>
    </w:p>
    <w:p w14:paraId="000EC417" w14:textId="7022E2BE" w:rsidR="008859FE" w:rsidRPr="00B058AC" w:rsidRDefault="008859FE" w:rsidP="00513768">
      <w:pPr>
        <w:widowControl w:val="0"/>
        <w:jc w:val="both"/>
      </w:pPr>
      <w:r w:rsidRPr="00B058AC">
        <w:t>Адрес производства: г. Санкт-Петербург, Дорога в Каменку, д. 62, лит. А.</w:t>
      </w:r>
    </w:p>
    <w:p w14:paraId="51855363" w14:textId="77777777" w:rsidR="008859FE" w:rsidRPr="00B058AC" w:rsidRDefault="008859FE" w:rsidP="00513768">
      <w:pPr>
        <w:widowControl w:val="0"/>
        <w:jc w:val="both"/>
      </w:pPr>
      <w:r w:rsidRPr="00B058AC">
        <w:t>Организация, принимающая претензии потребителей:</w:t>
      </w:r>
    </w:p>
    <w:p w14:paraId="02DCDD2E" w14:textId="77777777" w:rsidR="008859FE" w:rsidRPr="00B058AC" w:rsidRDefault="008859FE" w:rsidP="00513768">
      <w:pPr>
        <w:widowControl w:val="0"/>
        <w:jc w:val="both"/>
      </w:pPr>
      <w:r w:rsidRPr="00B058AC">
        <w:t>АО «ВЕРТЕКС», Россия</w:t>
      </w:r>
    </w:p>
    <w:p w14:paraId="6E1DD126" w14:textId="09C271A8" w:rsidR="008859FE" w:rsidRPr="00B058AC" w:rsidRDefault="008859FE" w:rsidP="00513768">
      <w:pPr>
        <w:widowControl w:val="0"/>
        <w:jc w:val="both"/>
      </w:pPr>
      <w:r w:rsidRPr="00B058AC">
        <w:t>199106, г. Санкт-Петербург, В</w:t>
      </w:r>
      <w:r w:rsidR="00F93B7D" w:rsidRPr="00B058AC">
        <w:t>асильевский остров</w:t>
      </w:r>
      <w:r w:rsidRPr="00B058AC">
        <w:t>, 24-линия, д. 27, лит. А.</w:t>
      </w:r>
    </w:p>
    <w:p w14:paraId="08ED9BCB" w14:textId="0561915B" w:rsidR="008859FE" w:rsidRDefault="008859FE" w:rsidP="00513768">
      <w:pPr>
        <w:widowControl w:val="0"/>
        <w:jc w:val="both"/>
      </w:pPr>
      <w:r w:rsidRPr="00B058AC">
        <w:t xml:space="preserve">Тел./факс: </w:t>
      </w:r>
    </w:p>
    <w:p w14:paraId="0B120D21" w14:textId="4E8E5FE3" w:rsidR="00390971" w:rsidRDefault="00390971" w:rsidP="00513768">
      <w:pPr>
        <w:widowControl w:val="0"/>
        <w:jc w:val="both"/>
      </w:pPr>
    </w:p>
    <w:p w14:paraId="0C4847C4" w14:textId="77777777" w:rsidR="001D302F" w:rsidRDefault="001D302F" w:rsidP="00513768">
      <w:pPr>
        <w:widowControl w:val="0"/>
        <w:jc w:val="both"/>
      </w:pPr>
    </w:p>
    <w:p w14:paraId="71593EFD" w14:textId="6F885188" w:rsidR="008859FE" w:rsidRPr="00B058AC" w:rsidRDefault="008859FE" w:rsidP="00513768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bCs/>
          <w:color w:val="000000"/>
        </w:rPr>
      </w:pPr>
      <w:bookmarkStart w:id="0" w:name="_GoBack"/>
      <w:bookmarkEnd w:id="0"/>
    </w:p>
    <w:sectPr w:rsidR="008859FE" w:rsidRPr="00B058AC" w:rsidSect="001D302F">
      <w:footerReference w:type="default" r:id="rId7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DA444" w14:textId="77777777" w:rsidR="00123A99" w:rsidRDefault="00123A99" w:rsidP="00123A99">
      <w:r>
        <w:separator/>
      </w:r>
    </w:p>
  </w:endnote>
  <w:endnote w:type="continuationSeparator" w:id="0">
    <w:p w14:paraId="7E4904AE" w14:textId="77777777" w:rsidR="00123A99" w:rsidRDefault="00123A99" w:rsidP="0012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341877"/>
      <w:docPartObj>
        <w:docPartGallery w:val="Page Numbers (Bottom of Page)"/>
        <w:docPartUnique/>
      </w:docPartObj>
    </w:sdtPr>
    <w:sdtEndPr/>
    <w:sdtContent>
      <w:p w14:paraId="14A0C972" w14:textId="41919747" w:rsidR="00123A99" w:rsidRDefault="00123A9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E8">
          <w:rPr>
            <w:noProof/>
          </w:rPr>
          <w:t>7</w:t>
        </w:r>
        <w:r>
          <w:fldChar w:fldCharType="end"/>
        </w:r>
      </w:p>
    </w:sdtContent>
  </w:sdt>
  <w:p w14:paraId="261532A5" w14:textId="77777777" w:rsidR="00123A99" w:rsidRDefault="00123A9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5D0E" w14:textId="77777777" w:rsidR="00123A99" w:rsidRDefault="00123A99" w:rsidP="00123A99">
      <w:r>
        <w:separator/>
      </w:r>
    </w:p>
  </w:footnote>
  <w:footnote w:type="continuationSeparator" w:id="0">
    <w:p w14:paraId="4D19B590" w14:textId="77777777" w:rsidR="00123A99" w:rsidRDefault="00123A99" w:rsidP="0012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C6B"/>
    <w:multiLevelType w:val="hybridMultilevel"/>
    <w:tmpl w:val="451CC160"/>
    <w:lvl w:ilvl="0" w:tplc="A8B6D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22B"/>
    <w:multiLevelType w:val="hybridMultilevel"/>
    <w:tmpl w:val="6296B06E"/>
    <w:lvl w:ilvl="0" w:tplc="D6284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434"/>
    <w:multiLevelType w:val="hybridMultilevel"/>
    <w:tmpl w:val="98FCA658"/>
    <w:lvl w:ilvl="0" w:tplc="A8B6D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AB1"/>
    <w:multiLevelType w:val="hybridMultilevel"/>
    <w:tmpl w:val="CFF6ADFE"/>
    <w:lvl w:ilvl="0" w:tplc="A8B6D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3E4E"/>
    <w:multiLevelType w:val="hybridMultilevel"/>
    <w:tmpl w:val="F1EED256"/>
    <w:lvl w:ilvl="0" w:tplc="A8B6D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B3FD1"/>
    <w:multiLevelType w:val="hybridMultilevel"/>
    <w:tmpl w:val="E83AAED4"/>
    <w:lvl w:ilvl="0" w:tplc="A8B6D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7F"/>
    <w:rsid w:val="00014FD6"/>
    <w:rsid w:val="00095BC2"/>
    <w:rsid w:val="000B6D34"/>
    <w:rsid w:val="00123A99"/>
    <w:rsid w:val="001664B0"/>
    <w:rsid w:val="001909B4"/>
    <w:rsid w:val="001D302F"/>
    <w:rsid w:val="001E7546"/>
    <w:rsid w:val="00227F05"/>
    <w:rsid w:val="00235904"/>
    <w:rsid w:val="00237C9C"/>
    <w:rsid w:val="00273AF6"/>
    <w:rsid w:val="002F5C5D"/>
    <w:rsid w:val="002F760B"/>
    <w:rsid w:val="00323BEA"/>
    <w:rsid w:val="00334ECE"/>
    <w:rsid w:val="00390971"/>
    <w:rsid w:val="00416709"/>
    <w:rsid w:val="00471357"/>
    <w:rsid w:val="004D3F11"/>
    <w:rsid w:val="00513768"/>
    <w:rsid w:val="00516EE0"/>
    <w:rsid w:val="00562560"/>
    <w:rsid w:val="00566249"/>
    <w:rsid w:val="006069E5"/>
    <w:rsid w:val="0060702B"/>
    <w:rsid w:val="006413F3"/>
    <w:rsid w:val="006E5535"/>
    <w:rsid w:val="007243D4"/>
    <w:rsid w:val="00744E1A"/>
    <w:rsid w:val="007953CF"/>
    <w:rsid w:val="00795A5C"/>
    <w:rsid w:val="007B58BB"/>
    <w:rsid w:val="007C7102"/>
    <w:rsid w:val="007F5B8D"/>
    <w:rsid w:val="00807BAD"/>
    <w:rsid w:val="008576A1"/>
    <w:rsid w:val="008859FE"/>
    <w:rsid w:val="008F6FE4"/>
    <w:rsid w:val="009156E4"/>
    <w:rsid w:val="00921796"/>
    <w:rsid w:val="00982B1E"/>
    <w:rsid w:val="009A52B7"/>
    <w:rsid w:val="009B60F0"/>
    <w:rsid w:val="009C7B7A"/>
    <w:rsid w:val="009D576A"/>
    <w:rsid w:val="00A61436"/>
    <w:rsid w:val="00A9353D"/>
    <w:rsid w:val="00AB593F"/>
    <w:rsid w:val="00AF11CE"/>
    <w:rsid w:val="00B058AC"/>
    <w:rsid w:val="00B24F7F"/>
    <w:rsid w:val="00B5525E"/>
    <w:rsid w:val="00B7608D"/>
    <w:rsid w:val="00C23323"/>
    <w:rsid w:val="00C27FA6"/>
    <w:rsid w:val="00C77FAA"/>
    <w:rsid w:val="00CA0423"/>
    <w:rsid w:val="00CF1222"/>
    <w:rsid w:val="00CF1601"/>
    <w:rsid w:val="00D41FE8"/>
    <w:rsid w:val="00DA3448"/>
    <w:rsid w:val="00DE6E44"/>
    <w:rsid w:val="00E07000"/>
    <w:rsid w:val="00E11AD6"/>
    <w:rsid w:val="00E232E6"/>
    <w:rsid w:val="00E32197"/>
    <w:rsid w:val="00E81A2D"/>
    <w:rsid w:val="00EA0DB9"/>
    <w:rsid w:val="00F93B7D"/>
    <w:rsid w:val="00FB74D1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B1D2"/>
  <w15:docId w15:val="{CCC9B863-D5C1-4E50-A2B3-E9A2E0B2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5B8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B8D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156E4"/>
    <w:pPr>
      <w:ind w:left="720"/>
      <w:contextualSpacing/>
    </w:pPr>
  </w:style>
  <w:style w:type="paragraph" w:styleId="a4">
    <w:name w:val="Body Text"/>
    <w:basedOn w:val="a"/>
    <w:link w:val="a5"/>
    <w:rsid w:val="009D576A"/>
    <w:pPr>
      <w:widowControl w:val="0"/>
      <w:shd w:val="clear" w:color="auto" w:fill="FFFFFF"/>
      <w:autoSpaceDE w:val="0"/>
      <w:autoSpaceDN w:val="0"/>
      <w:adjustRightInd w:val="0"/>
      <w:spacing w:line="283" w:lineRule="exact"/>
    </w:pPr>
    <w:rPr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9D576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a6">
    <w:name w:val="Основной текст_"/>
    <w:basedOn w:val="a0"/>
    <w:link w:val="1"/>
    <w:rsid w:val="006E55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E55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6E5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 + Полужирный;Курсив"/>
    <w:basedOn w:val="a6"/>
    <w:rsid w:val="006E553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6"/>
    <w:rsid w:val="006E5535"/>
    <w:pPr>
      <w:shd w:val="clear" w:color="auto" w:fill="FFFFFF"/>
      <w:spacing w:after="360" w:line="428" w:lineRule="exac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E5535"/>
    <w:pPr>
      <w:shd w:val="clear" w:color="auto" w:fill="FFFFFF"/>
      <w:spacing w:before="360" w:after="180" w:line="0" w:lineRule="atLeast"/>
      <w:jc w:val="both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E553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5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B7608D"/>
    <w:pPr>
      <w:autoSpaceDE w:val="0"/>
      <w:autoSpaceDN w:val="0"/>
      <w:spacing w:line="360" w:lineRule="auto"/>
    </w:pPr>
    <w:rPr>
      <w:rFonts w:ascii="Arial" w:hAnsi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7608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608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6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0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760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760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08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23A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23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23A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23A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Седельникова Яна Пинхасовна</dc:creator>
  <cp:lastModifiedBy>Чубарова Анастасия Александровна</cp:lastModifiedBy>
  <cp:revision>37</cp:revision>
  <cp:lastPrinted>2020-06-26T06:12:00Z</cp:lastPrinted>
  <dcterms:created xsi:type="dcterms:W3CDTF">2020-05-27T07:30:00Z</dcterms:created>
  <dcterms:modified xsi:type="dcterms:W3CDTF">2022-04-18T09:25:00Z</dcterms:modified>
</cp:coreProperties>
</file>