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8D2D0" w14:textId="77777777" w:rsidR="00BA495B" w:rsidRPr="00543E41" w:rsidRDefault="00BA495B" w:rsidP="00A91FDF">
      <w:pPr>
        <w:widowControl w:val="0"/>
        <w:jc w:val="center"/>
      </w:pPr>
      <w:r w:rsidRPr="00A46AC0">
        <w:t xml:space="preserve">МИНИСТЕРСТВО </w:t>
      </w:r>
      <w:r w:rsidRPr="00543E41">
        <w:t>ЗДРАВООХРАНЕНИЯ РОССИЙСКОЙ ФЕДЕРАЦИИ</w:t>
      </w:r>
    </w:p>
    <w:p w14:paraId="7A7C3147" w14:textId="77777777" w:rsidR="00BA495B" w:rsidRPr="00543E41" w:rsidRDefault="00BA495B" w:rsidP="00A91FDF">
      <w:pPr>
        <w:widowControl w:val="0"/>
        <w:jc w:val="center"/>
        <w:rPr>
          <w:b/>
        </w:rPr>
      </w:pPr>
    </w:p>
    <w:p w14:paraId="097B6815" w14:textId="761ABF7A" w:rsidR="00BA495B" w:rsidRPr="009411FB" w:rsidRDefault="009411FB" w:rsidP="00A91FDF">
      <w:pPr>
        <w:widowControl w:val="0"/>
        <w:jc w:val="center"/>
      </w:pPr>
      <w:r w:rsidRPr="009411FB">
        <w:t>ИНСТРУКЦИЯ</w:t>
      </w:r>
    </w:p>
    <w:p w14:paraId="5E54A7B2" w14:textId="31F79343" w:rsidR="00BA495B" w:rsidRPr="00543E41" w:rsidRDefault="009411FB" w:rsidP="00A91FDF">
      <w:pPr>
        <w:widowControl w:val="0"/>
        <w:jc w:val="center"/>
      </w:pPr>
      <w:r w:rsidRPr="00543E41">
        <w:t xml:space="preserve">ПО </w:t>
      </w:r>
      <w:r>
        <w:t xml:space="preserve">МЕДИЦИНСКОМУ </w:t>
      </w:r>
      <w:r w:rsidRPr="00543E41">
        <w:t>ПРИМЕНЕНИЮ ЛЕКАРСТВЕННОГО ПРЕПАРАТА</w:t>
      </w:r>
    </w:p>
    <w:p w14:paraId="70B24F19" w14:textId="77777777" w:rsidR="00BA495B" w:rsidRPr="00543E41" w:rsidRDefault="00BA495B" w:rsidP="00A91FDF">
      <w:pPr>
        <w:widowControl w:val="0"/>
        <w:jc w:val="center"/>
      </w:pPr>
    </w:p>
    <w:p w14:paraId="03916075" w14:textId="77777777" w:rsidR="00BA495B" w:rsidRPr="00543E41" w:rsidRDefault="00BA495B" w:rsidP="00A91FDF">
      <w:pPr>
        <w:widowControl w:val="0"/>
        <w:jc w:val="center"/>
      </w:pPr>
    </w:p>
    <w:p w14:paraId="7B2E0B0B" w14:textId="6986E0DF" w:rsidR="00BA495B" w:rsidRPr="00543E41" w:rsidRDefault="00BA495B" w:rsidP="00A91FDF">
      <w:pPr>
        <w:keepNext/>
        <w:widowControl w:val="0"/>
        <w:jc w:val="center"/>
        <w:outlineLvl w:val="5"/>
        <w:rPr>
          <w:b/>
        </w:rPr>
      </w:pPr>
      <w:r w:rsidRPr="00543E41">
        <w:rPr>
          <w:b/>
        </w:rPr>
        <w:t>Мемантин</w:t>
      </w:r>
      <w:r w:rsidR="009411FB">
        <w:rPr>
          <w:b/>
        </w:rPr>
        <w:t xml:space="preserve"> – ВЕРТЕКС</w:t>
      </w:r>
    </w:p>
    <w:p w14:paraId="306A9B16" w14:textId="77777777" w:rsidR="00BA495B" w:rsidRPr="00543E41" w:rsidRDefault="00BA495B" w:rsidP="00A91FDF">
      <w:pPr>
        <w:widowControl w:val="0"/>
        <w:jc w:val="both"/>
        <w:rPr>
          <w:b/>
        </w:rPr>
      </w:pPr>
    </w:p>
    <w:p w14:paraId="04CC58AA" w14:textId="77777777" w:rsidR="00BA495B" w:rsidRPr="00543E41" w:rsidRDefault="00BA495B" w:rsidP="00A91FDF">
      <w:pPr>
        <w:widowControl w:val="0"/>
        <w:jc w:val="both"/>
        <w:rPr>
          <w:b/>
        </w:rPr>
      </w:pPr>
    </w:p>
    <w:p w14:paraId="2E7211AE" w14:textId="66258719" w:rsidR="00BA495B" w:rsidRPr="00543E41" w:rsidRDefault="00BA495B" w:rsidP="00A91FDF">
      <w:pPr>
        <w:widowControl w:val="0"/>
        <w:jc w:val="both"/>
        <w:rPr>
          <w:b/>
        </w:rPr>
      </w:pPr>
      <w:r w:rsidRPr="00543E41">
        <w:rPr>
          <w:b/>
        </w:rPr>
        <w:t xml:space="preserve">Регистрационный номер: </w:t>
      </w:r>
      <w:bookmarkStart w:id="0" w:name="_GoBack"/>
      <w:r w:rsidR="007D030C" w:rsidRPr="007D030C">
        <w:t>ЛП-003419</w:t>
      </w:r>
      <w:bookmarkEnd w:id="0"/>
    </w:p>
    <w:p w14:paraId="691D0238" w14:textId="51B94E80" w:rsidR="00BA495B" w:rsidRPr="00543E41" w:rsidRDefault="00BA495B" w:rsidP="00A91FDF">
      <w:pPr>
        <w:widowControl w:val="0"/>
        <w:jc w:val="both"/>
      </w:pPr>
      <w:r w:rsidRPr="00543E41">
        <w:rPr>
          <w:b/>
        </w:rPr>
        <w:t xml:space="preserve">Торговое наименование: </w:t>
      </w:r>
      <w:r w:rsidRPr="00543E41">
        <w:t>Мемантин</w:t>
      </w:r>
      <w:r w:rsidR="009411FB">
        <w:t xml:space="preserve"> – ВЕРТЕКС</w:t>
      </w:r>
    </w:p>
    <w:p w14:paraId="18EB1F86" w14:textId="35673CD5" w:rsidR="00BA495B" w:rsidRPr="00543E41" w:rsidRDefault="00BA495B" w:rsidP="00A91FDF">
      <w:pPr>
        <w:widowControl w:val="0"/>
        <w:jc w:val="both"/>
        <w:rPr>
          <w:b/>
        </w:rPr>
      </w:pPr>
      <w:r w:rsidRPr="00543E41">
        <w:rPr>
          <w:b/>
        </w:rPr>
        <w:t xml:space="preserve">Международное непатентованное </w:t>
      </w:r>
      <w:r w:rsidR="009411FB">
        <w:rPr>
          <w:b/>
        </w:rPr>
        <w:t xml:space="preserve">или группировочное </w:t>
      </w:r>
      <w:r w:rsidRPr="00543E41">
        <w:rPr>
          <w:b/>
        </w:rPr>
        <w:t xml:space="preserve">наименование: </w:t>
      </w:r>
      <w:r w:rsidRPr="00543E41">
        <w:t>мемантин</w:t>
      </w:r>
    </w:p>
    <w:p w14:paraId="0F2510DA" w14:textId="77777777" w:rsidR="00BA495B" w:rsidRPr="00543E41" w:rsidRDefault="00BA495B" w:rsidP="00A91FDF">
      <w:pPr>
        <w:widowControl w:val="0"/>
        <w:jc w:val="both"/>
        <w:rPr>
          <w:b/>
        </w:rPr>
      </w:pPr>
      <w:r w:rsidRPr="00543E41">
        <w:rPr>
          <w:b/>
        </w:rPr>
        <w:t xml:space="preserve">Лекарственная форма: </w:t>
      </w:r>
      <w:r w:rsidRPr="00543E41">
        <w:t>таблетки, покрытые пленочной оболочкой</w:t>
      </w:r>
    </w:p>
    <w:p w14:paraId="1C044560" w14:textId="77777777" w:rsidR="00BA495B" w:rsidRPr="00543E41" w:rsidRDefault="00BA495B" w:rsidP="00A91FDF">
      <w:pPr>
        <w:widowControl w:val="0"/>
        <w:jc w:val="both"/>
        <w:rPr>
          <w:b/>
        </w:rPr>
      </w:pPr>
    </w:p>
    <w:p w14:paraId="6AE646F8" w14:textId="77777777" w:rsidR="00BA495B" w:rsidRPr="00543E41" w:rsidRDefault="00BA495B" w:rsidP="00A91FDF">
      <w:pPr>
        <w:widowControl w:val="0"/>
        <w:jc w:val="both"/>
        <w:rPr>
          <w:b/>
        </w:rPr>
      </w:pPr>
      <w:r w:rsidRPr="00543E41">
        <w:rPr>
          <w:b/>
        </w:rPr>
        <w:t>Состав</w:t>
      </w:r>
    </w:p>
    <w:p w14:paraId="1F3D82CB" w14:textId="77777777" w:rsidR="00BA495B" w:rsidRPr="00543E41" w:rsidRDefault="00BA495B" w:rsidP="00A91FDF">
      <w:pPr>
        <w:widowControl w:val="0"/>
        <w:jc w:val="both"/>
      </w:pPr>
      <w:r w:rsidRPr="00543E41">
        <w:t>Одна таблетка, покрытая пленочной оболочкой, содержит:</w:t>
      </w:r>
    </w:p>
    <w:p w14:paraId="15CF7267" w14:textId="77777777" w:rsidR="00BA495B" w:rsidRPr="00543E41" w:rsidRDefault="00BA495B" w:rsidP="00A91FDF">
      <w:pPr>
        <w:widowControl w:val="0"/>
        <w:jc w:val="both"/>
        <w:rPr>
          <w:b/>
        </w:rPr>
      </w:pPr>
    </w:p>
    <w:p w14:paraId="526485ED" w14:textId="77777777" w:rsidR="00DF5C0B" w:rsidRPr="00543E41" w:rsidRDefault="00DF5C0B" w:rsidP="00A91FDF">
      <w:pPr>
        <w:keepNext/>
        <w:widowControl w:val="0"/>
        <w:jc w:val="both"/>
        <w:outlineLvl w:val="2"/>
        <w:rPr>
          <w:u w:val="single"/>
        </w:rPr>
      </w:pPr>
      <w:r w:rsidRPr="00543E41">
        <w:rPr>
          <w:u w:val="single"/>
        </w:rPr>
        <w:t>Дозировка 10</w:t>
      </w:r>
      <w:r w:rsidR="00C45745" w:rsidRPr="00543E41">
        <w:rPr>
          <w:u w:val="single"/>
        </w:rPr>
        <w:t> мг</w:t>
      </w:r>
    </w:p>
    <w:p w14:paraId="7572AAE3" w14:textId="40245E97" w:rsidR="00DF5C0B" w:rsidRPr="00543E41" w:rsidRDefault="00A468B7" w:rsidP="00A91FDF">
      <w:pPr>
        <w:widowControl w:val="0"/>
        <w:jc w:val="both"/>
      </w:pPr>
      <w:r w:rsidRPr="004472C7">
        <w:rPr>
          <w:i/>
          <w:color w:val="000000" w:themeColor="text1"/>
        </w:rPr>
        <w:t>д</w:t>
      </w:r>
      <w:r w:rsidR="00A622F2" w:rsidRPr="004472C7">
        <w:rPr>
          <w:i/>
          <w:color w:val="000000" w:themeColor="text1"/>
        </w:rPr>
        <w:t>ействующее</w:t>
      </w:r>
      <w:r>
        <w:rPr>
          <w:i/>
        </w:rPr>
        <w:t xml:space="preserve"> </w:t>
      </w:r>
      <w:r w:rsidR="00DF5C0B" w:rsidRPr="00543E41">
        <w:rPr>
          <w:i/>
        </w:rPr>
        <w:t>вещество</w:t>
      </w:r>
      <w:r w:rsidR="00DF5C0B" w:rsidRPr="009411FB">
        <w:rPr>
          <w:i/>
        </w:rPr>
        <w:t>:</w:t>
      </w:r>
      <w:r w:rsidR="00DF5C0B" w:rsidRPr="00543E41">
        <w:t xml:space="preserve"> мемантина гидрохлорид – 10,0</w:t>
      </w:r>
      <w:r w:rsidR="00C45745" w:rsidRPr="00543E41">
        <w:t> мг</w:t>
      </w:r>
      <w:r w:rsidR="00DF5C0B" w:rsidRPr="00543E41">
        <w:t>;</w:t>
      </w:r>
    </w:p>
    <w:p w14:paraId="4B12C5D8" w14:textId="70479197" w:rsidR="00DF5C0B" w:rsidRPr="00543E41" w:rsidRDefault="00DF5C0B" w:rsidP="00A91FDF">
      <w:pPr>
        <w:widowControl w:val="0"/>
        <w:jc w:val="both"/>
      </w:pPr>
      <w:r w:rsidRPr="00543E41">
        <w:rPr>
          <w:i/>
        </w:rPr>
        <w:t>вспомогательные вещества</w:t>
      </w:r>
      <w:r w:rsidRPr="009411FB">
        <w:rPr>
          <w:i/>
        </w:rPr>
        <w:t>:</w:t>
      </w:r>
      <w:r w:rsidRPr="00543E41">
        <w:t xml:space="preserve"> целлюлоза микрокристаллическая </w:t>
      </w:r>
      <w:r w:rsidR="009E7CAD">
        <w:t xml:space="preserve">101 </w:t>
      </w:r>
      <w:r w:rsidRPr="00543E41">
        <w:t>– 152,5</w:t>
      </w:r>
      <w:r w:rsidR="00C45745" w:rsidRPr="00543E41">
        <w:t> мг;</w:t>
      </w:r>
      <w:r w:rsidRPr="00543E41">
        <w:t xml:space="preserve"> кальция гидрофосфат дигидрат – 50,0</w:t>
      </w:r>
      <w:r w:rsidR="00C45745" w:rsidRPr="00543E41">
        <w:t> мг;</w:t>
      </w:r>
      <w:r w:rsidRPr="00543E41">
        <w:t xml:space="preserve"> кроскармеллоза натрия – 12,5</w:t>
      </w:r>
      <w:r w:rsidR="00C45745" w:rsidRPr="00543E41">
        <w:t> мг;</w:t>
      </w:r>
      <w:r w:rsidRPr="00543E41">
        <w:t xml:space="preserve"> лактозы моногидрат – 10,0</w:t>
      </w:r>
      <w:r w:rsidR="00C45745" w:rsidRPr="00543E41">
        <w:t> мг;</w:t>
      </w:r>
      <w:r w:rsidRPr="00543E41">
        <w:t xml:space="preserve"> гипролоза (гидроксипропилцеллюлоза) – 5,0</w:t>
      </w:r>
      <w:r w:rsidR="00C45745" w:rsidRPr="00543E41">
        <w:t> мг;</w:t>
      </w:r>
      <w:r w:rsidRPr="00543E41">
        <w:t xml:space="preserve"> тальк – 5,0</w:t>
      </w:r>
      <w:r w:rsidR="00C45745" w:rsidRPr="00543E41">
        <w:t> мг;</w:t>
      </w:r>
      <w:r w:rsidRPr="00543E41">
        <w:t xml:space="preserve"> кремния диоксид коллоидный – 2,5</w:t>
      </w:r>
      <w:r w:rsidR="00C45745" w:rsidRPr="00543E41">
        <w:t> мг;</w:t>
      </w:r>
      <w:r w:rsidRPr="00543E41">
        <w:t xml:space="preserve"> магния стеарат – 2,5</w:t>
      </w:r>
      <w:r w:rsidR="00C45745" w:rsidRPr="00543E41">
        <w:t> мг</w:t>
      </w:r>
      <w:r w:rsidRPr="00543E41">
        <w:t xml:space="preserve">; </w:t>
      </w:r>
    </w:p>
    <w:p w14:paraId="2A3CC138" w14:textId="3BDBA588" w:rsidR="00DF5C0B" w:rsidRPr="00543E41" w:rsidRDefault="00DF5C0B" w:rsidP="00A91FDF">
      <w:pPr>
        <w:widowControl w:val="0"/>
        <w:jc w:val="both"/>
        <w:rPr>
          <w:spacing w:val="-4"/>
        </w:rPr>
      </w:pPr>
      <w:r w:rsidRPr="00543E41">
        <w:rPr>
          <w:i/>
          <w:spacing w:val="-4"/>
        </w:rPr>
        <w:t>пленочная оболочка</w:t>
      </w:r>
      <w:r w:rsidRPr="009411FB">
        <w:rPr>
          <w:i/>
          <w:spacing w:val="-4"/>
        </w:rPr>
        <w:t>:</w:t>
      </w:r>
      <w:r w:rsidRPr="00543E41">
        <w:rPr>
          <w:spacing w:val="-4"/>
        </w:rPr>
        <w:t xml:space="preserve"> [гипромеллоза – 4,0</w:t>
      </w:r>
      <w:r w:rsidR="00C45745" w:rsidRPr="00543E41">
        <w:rPr>
          <w:spacing w:val="-4"/>
        </w:rPr>
        <w:t> мг</w:t>
      </w:r>
      <w:r w:rsidRPr="00543E41">
        <w:rPr>
          <w:spacing w:val="-4"/>
        </w:rPr>
        <w:t>, гипролоза (гидроксипропилцеллюлоза) – 1,552</w:t>
      </w:r>
      <w:r w:rsidR="00C45745" w:rsidRPr="00543E41">
        <w:rPr>
          <w:spacing w:val="-4"/>
        </w:rPr>
        <w:t> мг</w:t>
      </w:r>
      <w:r w:rsidRPr="00543E41">
        <w:rPr>
          <w:spacing w:val="-4"/>
        </w:rPr>
        <w:t>, тальк – 1,568</w:t>
      </w:r>
      <w:r w:rsidR="00C45745" w:rsidRPr="00543E41">
        <w:rPr>
          <w:spacing w:val="-4"/>
        </w:rPr>
        <w:t> мг</w:t>
      </w:r>
      <w:r w:rsidRPr="00543E41">
        <w:rPr>
          <w:spacing w:val="-4"/>
        </w:rPr>
        <w:t>, титана диоксид – 0,880</w:t>
      </w:r>
      <w:r w:rsidR="00C45745" w:rsidRPr="00543E41">
        <w:rPr>
          <w:spacing w:val="-4"/>
        </w:rPr>
        <w:t> мг</w:t>
      </w:r>
      <w:r w:rsidRPr="00543E41">
        <w:rPr>
          <w:spacing w:val="-4"/>
        </w:rPr>
        <w:t>] или [сухая смесь</w:t>
      </w:r>
      <w:r w:rsidR="00BC54EE">
        <w:rPr>
          <w:spacing w:val="-4"/>
        </w:rPr>
        <w:t xml:space="preserve"> для пленочного покрытия</w:t>
      </w:r>
      <w:r w:rsidRPr="00543E41">
        <w:rPr>
          <w:spacing w:val="-4"/>
        </w:rPr>
        <w:t>, содержащая гипромеллозу (50</w:t>
      </w:r>
      <w:r w:rsidR="00C45745" w:rsidRPr="00543E41">
        <w:rPr>
          <w:spacing w:val="-4"/>
        </w:rPr>
        <w:t> %</w:t>
      </w:r>
      <w:r w:rsidRPr="00543E41">
        <w:rPr>
          <w:spacing w:val="-4"/>
        </w:rPr>
        <w:t>), гипролозу (гидроксипропилцеллюлозу) (19,4</w:t>
      </w:r>
      <w:r w:rsidR="00C45745" w:rsidRPr="00543E41">
        <w:rPr>
          <w:spacing w:val="-4"/>
        </w:rPr>
        <w:t> %</w:t>
      </w:r>
      <w:r w:rsidRPr="00543E41">
        <w:rPr>
          <w:spacing w:val="-4"/>
        </w:rPr>
        <w:t>), тальк (19,6</w:t>
      </w:r>
      <w:r w:rsidR="00C45745" w:rsidRPr="00543E41">
        <w:rPr>
          <w:spacing w:val="-4"/>
        </w:rPr>
        <w:t> %</w:t>
      </w:r>
      <w:r w:rsidRPr="00543E41">
        <w:rPr>
          <w:spacing w:val="-4"/>
        </w:rPr>
        <w:t>), титана диоксид (11</w:t>
      </w:r>
      <w:r w:rsidR="00C45745" w:rsidRPr="00543E41">
        <w:rPr>
          <w:spacing w:val="-4"/>
        </w:rPr>
        <w:t> %</w:t>
      </w:r>
      <w:r w:rsidRPr="00543E41">
        <w:rPr>
          <w:spacing w:val="-4"/>
        </w:rPr>
        <w:t>)] – 8,0</w:t>
      </w:r>
      <w:r w:rsidR="00C45745" w:rsidRPr="00543E41">
        <w:rPr>
          <w:spacing w:val="-4"/>
        </w:rPr>
        <w:t> мг</w:t>
      </w:r>
      <w:r w:rsidRPr="00543E41">
        <w:rPr>
          <w:spacing w:val="-4"/>
        </w:rPr>
        <w:t>.</w:t>
      </w:r>
    </w:p>
    <w:p w14:paraId="77CD3B56" w14:textId="77777777" w:rsidR="00DF5C0B" w:rsidRPr="00543E41" w:rsidRDefault="00DF5C0B" w:rsidP="00A91FDF">
      <w:pPr>
        <w:widowControl w:val="0"/>
        <w:jc w:val="both"/>
        <w:outlineLvl w:val="2"/>
        <w:rPr>
          <w:u w:val="single"/>
        </w:rPr>
      </w:pPr>
    </w:p>
    <w:p w14:paraId="176A42B6" w14:textId="77777777" w:rsidR="00DF5C0B" w:rsidRPr="00543E41" w:rsidRDefault="00DF5C0B" w:rsidP="00A91FDF">
      <w:pPr>
        <w:keepNext/>
        <w:widowControl w:val="0"/>
        <w:jc w:val="both"/>
        <w:outlineLvl w:val="2"/>
        <w:rPr>
          <w:u w:val="single"/>
        </w:rPr>
      </w:pPr>
      <w:r w:rsidRPr="00543E41">
        <w:rPr>
          <w:u w:val="single"/>
        </w:rPr>
        <w:t>Дозировка 20</w:t>
      </w:r>
      <w:r w:rsidR="00C45745" w:rsidRPr="00543E41">
        <w:rPr>
          <w:u w:val="single"/>
        </w:rPr>
        <w:t> мг</w:t>
      </w:r>
    </w:p>
    <w:p w14:paraId="628E0C51" w14:textId="6E148082" w:rsidR="00DF5C0B" w:rsidRPr="00543E41" w:rsidRDefault="00FB2294" w:rsidP="00A91FDF">
      <w:pPr>
        <w:widowControl w:val="0"/>
        <w:jc w:val="both"/>
      </w:pPr>
      <w:r w:rsidRPr="004472C7">
        <w:rPr>
          <w:i/>
          <w:color w:val="000000" w:themeColor="text1"/>
        </w:rPr>
        <w:t>действующее</w:t>
      </w:r>
      <w:r w:rsidR="00DF5C0B" w:rsidRPr="00543E41">
        <w:rPr>
          <w:i/>
        </w:rPr>
        <w:t xml:space="preserve"> вещество</w:t>
      </w:r>
      <w:r w:rsidR="00DF5C0B" w:rsidRPr="005700F3">
        <w:rPr>
          <w:i/>
        </w:rPr>
        <w:t>:</w:t>
      </w:r>
      <w:r w:rsidR="00DF5C0B" w:rsidRPr="00543E41">
        <w:t xml:space="preserve"> мемантина гидрохлорид – 20,0</w:t>
      </w:r>
      <w:r w:rsidR="00C45745" w:rsidRPr="00543E41">
        <w:t> мг</w:t>
      </w:r>
      <w:r w:rsidR="00DF5C0B" w:rsidRPr="00543E41">
        <w:t>;</w:t>
      </w:r>
    </w:p>
    <w:p w14:paraId="7E7B7536" w14:textId="69DCF980" w:rsidR="00DF5C0B" w:rsidRPr="00543E41" w:rsidRDefault="00DF5C0B" w:rsidP="00A91FDF">
      <w:pPr>
        <w:widowControl w:val="0"/>
        <w:jc w:val="both"/>
      </w:pPr>
      <w:r w:rsidRPr="00543E41">
        <w:rPr>
          <w:i/>
        </w:rPr>
        <w:t>вспомогательные вещества</w:t>
      </w:r>
      <w:r w:rsidRPr="005700F3">
        <w:rPr>
          <w:i/>
        </w:rPr>
        <w:t>:</w:t>
      </w:r>
      <w:r w:rsidRPr="00543E41">
        <w:t xml:space="preserve"> целлюлоза микрокристаллическая </w:t>
      </w:r>
      <w:r w:rsidR="00327E2D">
        <w:t xml:space="preserve">101 </w:t>
      </w:r>
      <w:r w:rsidRPr="00543E41">
        <w:t>– 142,5</w:t>
      </w:r>
      <w:r w:rsidR="00C45745" w:rsidRPr="00543E41">
        <w:t> мг;</w:t>
      </w:r>
      <w:r w:rsidRPr="00543E41">
        <w:t xml:space="preserve"> кальция гидрофосфат дигидрат – 50,0</w:t>
      </w:r>
      <w:r w:rsidR="00C45745" w:rsidRPr="00543E41">
        <w:t> мг;</w:t>
      </w:r>
      <w:r w:rsidRPr="00543E41">
        <w:t xml:space="preserve"> кроскармеллоза натрия – 12,5</w:t>
      </w:r>
      <w:r w:rsidR="00C45745" w:rsidRPr="00543E41">
        <w:t> мг;</w:t>
      </w:r>
      <w:r w:rsidRPr="00543E41">
        <w:t xml:space="preserve"> лактозы моногидрат – 10,0</w:t>
      </w:r>
      <w:r w:rsidR="00C45745" w:rsidRPr="00543E41">
        <w:t> мг;</w:t>
      </w:r>
      <w:r w:rsidRPr="00543E41">
        <w:t xml:space="preserve"> гипролоза (гидроксипропилцеллюлоза) – 5,0</w:t>
      </w:r>
      <w:r w:rsidR="00C45745" w:rsidRPr="00543E41">
        <w:t> мг;</w:t>
      </w:r>
      <w:r w:rsidRPr="00543E41">
        <w:t xml:space="preserve"> тальк – 5,0</w:t>
      </w:r>
      <w:r w:rsidR="00C45745" w:rsidRPr="00543E41">
        <w:t> мг;</w:t>
      </w:r>
      <w:r w:rsidRPr="00543E41">
        <w:t xml:space="preserve"> кремния диоксид коллоидный – 2,5</w:t>
      </w:r>
      <w:r w:rsidR="00C45745" w:rsidRPr="00543E41">
        <w:t> мг;</w:t>
      </w:r>
      <w:r w:rsidRPr="00543E41">
        <w:t xml:space="preserve"> магния стеарат – 2,5</w:t>
      </w:r>
      <w:r w:rsidR="00C45745" w:rsidRPr="00543E41">
        <w:t> мг</w:t>
      </w:r>
      <w:r w:rsidRPr="00543E41">
        <w:t xml:space="preserve">; </w:t>
      </w:r>
    </w:p>
    <w:p w14:paraId="614C8722" w14:textId="33393D1B" w:rsidR="00DF5C0B" w:rsidRPr="00543E41" w:rsidRDefault="00DF5C0B" w:rsidP="00A91FDF">
      <w:pPr>
        <w:widowControl w:val="0"/>
        <w:jc w:val="both"/>
      </w:pPr>
      <w:r w:rsidRPr="00543E41">
        <w:rPr>
          <w:i/>
        </w:rPr>
        <w:t>пленочная оболочка</w:t>
      </w:r>
      <w:r w:rsidRPr="005700F3">
        <w:rPr>
          <w:i/>
        </w:rPr>
        <w:t>:</w:t>
      </w:r>
      <w:r w:rsidRPr="00543E41">
        <w:t xml:space="preserve"> [гипромеллоза – 4,0</w:t>
      </w:r>
      <w:r w:rsidR="00C45745" w:rsidRPr="00543E41">
        <w:t> мг</w:t>
      </w:r>
      <w:r w:rsidRPr="00543E41">
        <w:t>, гипролоза (гидроксипропилцеллюлоза) – 1,5520</w:t>
      </w:r>
      <w:r w:rsidR="00C45745" w:rsidRPr="00543E41">
        <w:t> мг</w:t>
      </w:r>
      <w:r w:rsidRPr="00543E41">
        <w:t>, тальк – 1,5408</w:t>
      </w:r>
      <w:r w:rsidR="00C45745" w:rsidRPr="00543E41">
        <w:t> мг</w:t>
      </w:r>
      <w:r w:rsidRPr="00543E41">
        <w:t>, титана диоксид – 0,8696</w:t>
      </w:r>
      <w:r w:rsidR="00C45745" w:rsidRPr="00543E41">
        <w:t> мг</w:t>
      </w:r>
      <w:r w:rsidRPr="00543E41">
        <w:t xml:space="preserve">, </w:t>
      </w:r>
      <w:r w:rsidR="005700F3">
        <w:t xml:space="preserve">краситель </w:t>
      </w:r>
      <w:r w:rsidRPr="00543E41">
        <w:t>железа оксид желтый (железа оксид) – 0,0376</w:t>
      </w:r>
      <w:r w:rsidR="00C45745" w:rsidRPr="00543E41">
        <w:t> мг</w:t>
      </w:r>
      <w:r w:rsidRPr="00543E41">
        <w:t xml:space="preserve">] или [сухая смесь </w:t>
      </w:r>
      <w:r w:rsidR="00BC54EE">
        <w:t>для пленочного покрытия</w:t>
      </w:r>
      <w:r w:rsidRPr="00543E41">
        <w:t>, содержащая гипромеллозу (50</w:t>
      </w:r>
      <w:r w:rsidR="00C45745" w:rsidRPr="00543E41">
        <w:t> %</w:t>
      </w:r>
      <w:r w:rsidRPr="00543E41">
        <w:t>), гипролозу (гидроксипропилцеллюлозу) (19,4</w:t>
      </w:r>
      <w:r w:rsidR="00C45745" w:rsidRPr="00543E41">
        <w:t> %</w:t>
      </w:r>
      <w:r w:rsidRPr="00543E41">
        <w:t>), тальк (19,26</w:t>
      </w:r>
      <w:r w:rsidR="00C45745" w:rsidRPr="00543E41">
        <w:t> %</w:t>
      </w:r>
      <w:r w:rsidRPr="00543E41">
        <w:t>), титана диоксид (10,87</w:t>
      </w:r>
      <w:r w:rsidR="00C45745" w:rsidRPr="00543E41">
        <w:t> %</w:t>
      </w:r>
      <w:r w:rsidRPr="00543E41">
        <w:t xml:space="preserve">), </w:t>
      </w:r>
      <w:r w:rsidR="005700F3">
        <w:t xml:space="preserve">краситель </w:t>
      </w:r>
      <w:r w:rsidRPr="00543E41">
        <w:t>железа оксид желтый (железа оксид) (0,47</w:t>
      </w:r>
      <w:r w:rsidR="00BC54EE">
        <w:t xml:space="preserve"> </w:t>
      </w:r>
      <w:r w:rsidRPr="00543E41">
        <w:t>%)] – 8,0</w:t>
      </w:r>
      <w:r w:rsidR="00C45745" w:rsidRPr="00543E41">
        <w:t> мг</w:t>
      </w:r>
      <w:r w:rsidRPr="00543E41">
        <w:t>.</w:t>
      </w:r>
    </w:p>
    <w:p w14:paraId="4FE9208E" w14:textId="77777777" w:rsidR="00F71E01" w:rsidRPr="00543E41" w:rsidRDefault="00F71E01" w:rsidP="00A91FD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D92D56E" w14:textId="77777777" w:rsidR="00987A23" w:rsidRPr="00543E41" w:rsidRDefault="007A46D5" w:rsidP="00A91FDF">
      <w:pPr>
        <w:keepNext/>
        <w:widowControl w:val="0"/>
        <w:autoSpaceDE w:val="0"/>
        <w:autoSpaceDN w:val="0"/>
        <w:adjustRightInd w:val="0"/>
        <w:jc w:val="both"/>
        <w:rPr>
          <w:b/>
        </w:rPr>
      </w:pPr>
      <w:r w:rsidRPr="00543E41">
        <w:rPr>
          <w:b/>
        </w:rPr>
        <w:t>Описание</w:t>
      </w:r>
    </w:p>
    <w:p w14:paraId="4512C1BD" w14:textId="77777777" w:rsidR="007A46D5" w:rsidRPr="00543E41" w:rsidRDefault="00987A23" w:rsidP="00A91F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43E41">
        <w:t>П</w:t>
      </w:r>
      <w:r w:rsidR="00E71F31" w:rsidRPr="00543E41">
        <w:t xml:space="preserve">родолговатые </w:t>
      </w:r>
      <w:r w:rsidR="007A46D5" w:rsidRPr="00543E41">
        <w:rPr>
          <w:color w:val="000000"/>
        </w:rPr>
        <w:t>двояковыпуклые</w:t>
      </w:r>
      <w:r w:rsidR="007A46D5" w:rsidRPr="00543E41">
        <w:rPr>
          <w:b/>
          <w:color w:val="FF0000"/>
        </w:rPr>
        <w:t xml:space="preserve"> </w:t>
      </w:r>
      <w:r w:rsidR="007A46D5" w:rsidRPr="00543E41">
        <w:rPr>
          <w:color w:val="000000"/>
        </w:rPr>
        <w:t>таблетки,</w:t>
      </w:r>
      <w:r w:rsidR="00E71F31" w:rsidRPr="00543E41">
        <w:rPr>
          <w:color w:val="000000"/>
        </w:rPr>
        <w:t xml:space="preserve"> имеющие риску с каждой стороны,</w:t>
      </w:r>
      <w:r w:rsidR="007A46D5" w:rsidRPr="00543E41">
        <w:rPr>
          <w:color w:val="000000"/>
        </w:rPr>
        <w:t xml:space="preserve"> покрытые пленочной оболочкой</w:t>
      </w:r>
      <w:r w:rsidR="00E71F31" w:rsidRPr="00543E41">
        <w:rPr>
          <w:color w:val="000000"/>
        </w:rPr>
        <w:t xml:space="preserve"> </w:t>
      </w:r>
      <w:r w:rsidR="00A72F32" w:rsidRPr="00543E41">
        <w:rPr>
          <w:color w:val="000000"/>
        </w:rPr>
        <w:t>белого</w:t>
      </w:r>
      <w:r w:rsidR="005451C7" w:rsidRPr="00543E41">
        <w:rPr>
          <w:color w:val="000000"/>
        </w:rPr>
        <w:t xml:space="preserve"> цвета (дозировка 10</w:t>
      </w:r>
      <w:r w:rsidR="00C45745" w:rsidRPr="00543E41">
        <w:rPr>
          <w:color w:val="000000"/>
        </w:rPr>
        <w:t> мг</w:t>
      </w:r>
      <w:r w:rsidR="005451C7" w:rsidRPr="00543E41">
        <w:rPr>
          <w:color w:val="000000"/>
        </w:rPr>
        <w:t>) и</w:t>
      </w:r>
      <w:r w:rsidRPr="00543E41">
        <w:rPr>
          <w:color w:val="000000"/>
        </w:rPr>
        <w:t xml:space="preserve"> </w:t>
      </w:r>
      <w:r w:rsidR="00E71F31" w:rsidRPr="00543E41">
        <w:rPr>
          <w:color w:val="000000"/>
        </w:rPr>
        <w:t>желтого цвета</w:t>
      </w:r>
      <w:r w:rsidRPr="00543E41">
        <w:rPr>
          <w:color w:val="000000"/>
        </w:rPr>
        <w:t xml:space="preserve"> (дозировка 20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>)</w:t>
      </w:r>
      <w:r w:rsidR="007A46D5" w:rsidRPr="00543E41">
        <w:rPr>
          <w:color w:val="000000"/>
        </w:rPr>
        <w:t>. На поперечном разрезе ядро белого или почти белого цвета.</w:t>
      </w:r>
    </w:p>
    <w:p w14:paraId="7B9F5542" w14:textId="77777777" w:rsidR="009A6900" w:rsidRPr="00543E41" w:rsidRDefault="009A6900" w:rsidP="00A91F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A96D0DF" w14:textId="77777777" w:rsidR="00987A23" w:rsidRPr="00543E41" w:rsidRDefault="007A46D5" w:rsidP="00A91FDF">
      <w:pPr>
        <w:keepNext/>
        <w:widowControl w:val="0"/>
        <w:jc w:val="both"/>
        <w:rPr>
          <w:b/>
        </w:rPr>
      </w:pPr>
      <w:r w:rsidRPr="00543E41">
        <w:rPr>
          <w:b/>
        </w:rPr>
        <w:t>Фармакотерапевтическая группа</w:t>
      </w:r>
    </w:p>
    <w:p w14:paraId="76D7B348" w14:textId="77777777" w:rsidR="007A46D5" w:rsidRPr="00543E41" w:rsidRDefault="00C45745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Деменции</w:t>
      </w:r>
      <w:r w:rsidRPr="00543E41">
        <w:t xml:space="preserve"> с</w:t>
      </w:r>
      <w:r w:rsidR="006629F2" w:rsidRPr="00543E41">
        <w:t>редство</w:t>
      </w:r>
      <w:r w:rsidR="009A6900" w:rsidRPr="00543E41">
        <w:rPr>
          <w:color w:val="000000"/>
        </w:rPr>
        <w:t xml:space="preserve"> лечения</w:t>
      </w:r>
      <w:r w:rsidR="00987A23" w:rsidRPr="00543E41">
        <w:rPr>
          <w:color w:val="000000"/>
        </w:rPr>
        <w:t>.</w:t>
      </w:r>
    </w:p>
    <w:p w14:paraId="4C05BACE" w14:textId="77777777" w:rsidR="009A6900" w:rsidRPr="00543E41" w:rsidRDefault="009A6900" w:rsidP="00A91FDF">
      <w:pPr>
        <w:widowControl w:val="0"/>
        <w:jc w:val="both"/>
        <w:rPr>
          <w:b/>
        </w:rPr>
      </w:pPr>
    </w:p>
    <w:p w14:paraId="12DC4F2C" w14:textId="77777777" w:rsidR="00987A23" w:rsidRPr="00543E41" w:rsidRDefault="007A46D5" w:rsidP="00A91FDF">
      <w:pPr>
        <w:keepNext/>
        <w:widowControl w:val="0"/>
        <w:jc w:val="both"/>
        <w:rPr>
          <w:b/>
        </w:rPr>
      </w:pPr>
      <w:r w:rsidRPr="00543E41">
        <w:rPr>
          <w:b/>
        </w:rPr>
        <w:t>Код АТХ</w:t>
      </w:r>
    </w:p>
    <w:p w14:paraId="28D618C3" w14:textId="77777777" w:rsidR="007A46D5" w:rsidRPr="00543E41" w:rsidRDefault="007D030C" w:rsidP="00A91FDF">
      <w:pPr>
        <w:widowControl w:val="0"/>
        <w:jc w:val="both"/>
      </w:pPr>
      <w:hyperlink r:id="rId8" w:history="1">
        <w:r w:rsidR="009A6900" w:rsidRPr="00543E41">
          <w:rPr>
            <w:rStyle w:val="a7"/>
            <w:color w:val="auto"/>
            <w:u w:val="none"/>
          </w:rPr>
          <w:t>N06DX01</w:t>
        </w:r>
      </w:hyperlink>
    </w:p>
    <w:p w14:paraId="3880B925" w14:textId="77777777" w:rsidR="00987A23" w:rsidRPr="00543E41" w:rsidRDefault="00987A23" w:rsidP="00A91FDF">
      <w:pPr>
        <w:widowControl w:val="0"/>
        <w:jc w:val="both"/>
        <w:rPr>
          <w:b/>
        </w:rPr>
      </w:pPr>
    </w:p>
    <w:p w14:paraId="1A0B5B14" w14:textId="77777777" w:rsidR="00987A23" w:rsidRPr="00543E41" w:rsidRDefault="00987A23" w:rsidP="00A91FDF">
      <w:pPr>
        <w:keepNext/>
        <w:widowControl w:val="0"/>
        <w:jc w:val="both"/>
        <w:rPr>
          <w:b/>
        </w:rPr>
      </w:pPr>
      <w:r w:rsidRPr="00543E41">
        <w:rPr>
          <w:b/>
        </w:rPr>
        <w:lastRenderedPageBreak/>
        <w:t xml:space="preserve">Фармакологические свойства </w:t>
      </w:r>
    </w:p>
    <w:p w14:paraId="40B1D18D" w14:textId="77777777" w:rsidR="00987A23" w:rsidRPr="00543E41" w:rsidRDefault="00987A23" w:rsidP="00A91FDF">
      <w:pPr>
        <w:keepNext/>
        <w:widowControl w:val="0"/>
        <w:jc w:val="both"/>
        <w:rPr>
          <w:b/>
          <w:i/>
        </w:rPr>
      </w:pPr>
      <w:r w:rsidRPr="00543E41">
        <w:rPr>
          <w:b/>
          <w:i/>
        </w:rPr>
        <w:t>Фармакодинамика</w:t>
      </w:r>
    </w:p>
    <w:p w14:paraId="00C0EC69" w14:textId="0F8C3124" w:rsidR="009A6900" w:rsidRDefault="001525B8" w:rsidP="00A91FD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Нарушение глутаматергической нейротрансмиссии, в особенности функции </w:t>
      </w:r>
      <w:r>
        <w:rPr>
          <w:color w:val="000000"/>
          <w:lang w:val="en-US"/>
        </w:rPr>
        <w:t>NMDA</w:t>
      </w:r>
      <w:r>
        <w:rPr>
          <w:color w:val="000000"/>
        </w:rPr>
        <w:t>-рецепторов, способствует как проявлению симптомов, так и прогрессированию нейродегенеративной деменции</w:t>
      </w:r>
      <w:r w:rsidR="009A6900" w:rsidRPr="00543E41">
        <w:rPr>
          <w:color w:val="000000"/>
        </w:rPr>
        <w:t>.</w:t>
      </w:r>
    </w:p>
    <w:p w14:paraId="56EF237B" w14:textId="2DFCDAAF" w:rsidR="001525B8" w:rsidRPr="00E31EE9" w:rsidRDefault="001525B8" w:rsidP="00A91FD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Мемантин является потенциалозависимым, умеренно аффинным, неконкурентным антагонистом </w:t>
      </w:r>
      <w:r>
        <w:rPr>
          <w:color w:val="000000"/>
          <w:lang w:val="en-US"/>
        </w:rPr>
        <w:t>NMDA</w:t>
      </w:r>
      <w:r>
        <w:rPr>
          <w:color w:val="000000"/>
        </w:rPr>
        <w:t>-рецепторов. Препарат модулирует патологическое увеличение содержания глутамата, которое может приводить к нейронной дисфункции. Улучшает когнитивные процессы, повышает повседневную активность.</w:t>
      </w:r>
    </w:p>
    <w:p w14:paraId="043A37FD" w14:textId="77777777" w:rsidR="00987A23" w:rsidRPr="00543E41" w:rsidRDefault="00987A23" w:rsidP="00A91FDF">
      <w:pPr>
        <w:keepNext/>
        <w:widowControl w:val="0"/>
        <w:jc w:val="both"/>
        <w:rPr>
          <w:b/>
          <w:i/>
        </w:rPr>
      </w:pPr>
      <w:r w:rsidRPr="00543E41">
        <w:rPr>
          <w:b/>
          <w:i/>
        </w:rPr>
        <w:t>Фармакокинетика</w:t>
      </w:r>
    </w:p>
    <w:p w14:paraId="48828F19" w14:textId="77777777" w:rsidR="00D31309" w:rsidRPr="00543E41" w:rsidRDefault="00D31309" w:rsidP="00A91FDF">
      <w:pPr>
        <w:keepNext/>
        <w:widowControl w:val="0"/>
        <w:jc w:val="both"/>
        <w:rPr>
          <w:i/>
          <w:szCs w:val="20"/>
        </w:rPr>
      </w:pPr>
      <w:r w:rsidRPr="00543E41">
        <w:rPr>
          <w:i/>
          <w:szCs w:val="20"/>
        </w:rPr>
        <w:t>Всасывание</w:t>
      </w:r>
    </w:p>
    <w:p w14:paraId="53B87B2B" w14:textId="27E87D46" w:rsidR="00D31309" w:rsidRPr="00543E41" w:rsidRDefault="001525B8" w:rsidP="00A91FDF">
      <w:pPr>
        <w:widowControl w:val="0"/>
        <w:jc w:val="both"/>
        <w:rPr>
          <w:color w:val="000000"/>
        </w:rPr>
      </w:pPr>
      <w:r>
        <w:rPr>
          <w:color w:val="000000"/>
        </w:rPr>
        <w:t>Мемантин имеет абсолютную биодоступность, приблизительно равную 100</w:t>
      </w:r>
      <w:r w:rsidR="00640829">
        <w:rPr>
          <w:color w:val="000000"/>
        </w:rPr>
        <w:t> </w:t>
      </w:r>
      <w:r>
        <w:rPr>
          <w:color w:val="000000"/>
        </w:rPr>
        <w:t>%</w:t>
      </w:r>
      <w:r w:rsidR="00D31309" w:rsidRPr="00543E41">
        <w:rPr>
          <w:color w:val="000000"/>
        </w:rPr>
        <w:t>.</w:t>
      </w:r>
      <w:r>
        <w:rPr>
          <w:color w:val="000000"/>
        </w:rPr>
        <w:t xml:space="preserve"> Максимальная концентрация в плазме крови достигается в течение 3-8 часов (</w:t>
      </w:r>
      <w:r>
        <w:rPr>
          <w:color w:val="000000"/>
          <w:lang w:val="en-US"/>
        </w:rPr>
        <w:t>t</w:t>
      </w:r>
      <w:r w:rsidRPr="00A872D8">
        <w:rPr>
          <w:color w:val="000000"/>
          <w:vertAlign w:val="subscript"/>
          <w:lang w:val="en-US"/>
        </w:rPr>
        <w:t>max</w:t>
      </w:r>
      <w:r w:rsidRPr="00A872D8">
        <w:rPr>
          <w:color w:val="000000"/>
        </w:rPr>
        <w:t>)</w:t>
      </w:r>
      <w:r>
        <w:rPr>
          <w:color w:val="000000"/>
        </w:rPr>
        <w:t xml:space="preserve">. Признаки того, что прием пищи влияет на всасывание мемантина, отсутствуют. </w:t>
      </w:r>
    </w:p>
    <w:p w14:paraId="675A0D57" w14:textId="77777777" w:rsidR="00D31309" w:rsidRPr="00543E41" w:rsidRDefault="00D31309" w:rsidP="00A91FDF">
      <w:pPr>
        <w:keepNext/>
        <w:widowControl w:val="0"/>
        <w:jc w:val="both"/>
        <w:rPr>
          <w:b/>
          <w:i/>
          <w:color w:val="000000"/>
        </w:rPr>
      </w:pPr>
      <w:r w:rsidRPr="00543E41">
        <w:rPr>
          <w:bCs/>
          <w:i/>
          <w:color w:val="000000"/>
        </w:rPr>
        <w:t xml:space="preserve">Распределение </w:t>
      </w:r>
    </w:p>
    <w:p w14:paraId="04BEB1F4" w14:textId="5CD60AC2" w:rsidR="00D31309" w:rsidRPr="00543E41" w:rsidRDefault="001525B8" w:rsidP="00A91FDF">
      <w:pPr>
        <w:widowControl w:val="0"/>
        <w:jc w:val="both"/>
        <w:rPr>
          <w:bCs/>
          <w:i/>
          <w:color w:val="000000"/>
        </w:rPr>
      </w:pPr>
      <w:r>
        <w:rPr>
          <w:bCs/>
          <w:color w:val="000000"/>
        </w:rPr>
        <w:t>Суточные дозы 20 мг приводят к постоянной концентрации мемантина в плазме крови в диапазоне от 70 до 150 нг/мл (0,5-</w:t>
      </w:r>
      <w:r w:rsidR="001372EB">
        <w:rPr>
          <w:bCs/>
          <w:color w:val="000000"/>
        </w:rPr>
        <w:t>1</w:t>
      </w:r>
      <w:r>
        <w:rPr>
          <w:bCs/>
          <w:color w:val="000000"/>
        </w:rPr>
        <w:t xml:space="preserve"> мкмоль)</w:t>
      </w:r>
      <w:r w:rsidR="001372EB">
        <w:rPr>
          <w:bCs/>
          <w:color w:val="000000"/>
        </w:rPr>
        <w:t xml:space="preserve"> с большими межиндивидуальными вариациями. При введении суточных доз от 5 до 30 мг среднее отношение содержания препарата в цереброспинальной жидкости к содержанию в сыворотке крови составляло 0,52. Объем распределения составляет около 10 л/кг. Около 45</w:t>
      </w:r>
      <w:r w:rsidR="00640829">
        <w:rPr>
          <w:bCs/>
          <w:color w:val="000000"/>
        </w:rPr>
        <w:t xml:space="preserve"> </w:t>
      </w:r>
      <w:r w:rsidR="001372EB">
        <w:rPr>
          <w:bCs/>
          <w:color w:val="000000"/>
        </w:rPr>
        <w:t>% мемантина связывается с белками плазмы.</w:t>
      </w:r>
    </w:p>
    <w:p w14:paraId="22BD8DF9" w14:textId="77777777" w:rsidR="00D31309" w:rsidRPr="00543E41" w:rsidRDefault="00D31309" w:rsidP="00A91FDF">
      <w:pPr>
        <w:keepNext/>
        <w:widowControl w:val="0"/>
        <w:jc w:val="both"/>
        <w:rPr>
          <w:bCs/>
          <w:i/>
          <w:color w:val="000000"/>
        </w:rPr>
      </w:pPr>
      <w:r w:rsidRPr="00543E41">
        <w:rPr>
          <w:bCs/>
          <w:i/>
          <w:color w:val="000000"/>
        </w:rPr>
        <w:t xml:space="preserve">Метаболизм </w:t>
      </w:r>
    </w:p>
    <w:p w14:paraId="5CFC4300" w14:textId="02C4B205" w:rsidR="00D31309" w:rsidRDefault="001372EB" w:rsidP="00A91FDF">
      <w:pPr>
        <w:widowControl w:val="0"/>
        <w:jc w:val="both"/>
        <w:rPr>
          <w:color w:val="000000"/>
        </w:rPr>
      </w:pPr>
      <w:r>
        <w:rPr>
          <w:color w:val="000000"/>
        </w:rPr>
        <w:t>Около 80</w:t>
      </w:r>
      <w:r w:rsidR="00640829">
        <w:rPr>
          <w:color w:val="000000"/>
        </w:rPr>
        <w:t xml:space="preserve"> </w:t>
      </w:r>
      <w:r>
        <w:rPr>
          <w:color w:val="000000"/>
        </w:rPr>
        <w:t xml:space="preserve">% мемантина, принятого внутрь, циркулирует в неизмененном виде. Главные метаболиты у человека – это </w:t>
      </w:r>
      <w:r>
        <w:rPr>
          <w:color w:val="000000"/>
          <w:lang w:val="en-US"/>
        </w:rPr>
        <w:t>N</w:t>
      </w:r>
      <w:r w:rsidRPr="00A872D8">
        <w:rPr>
          <w:color w:val="000000"/>
        </w:rPr>
        <w:t>-3,5-</w:t>
      </w:r>
      <w:r>
        <w:rPr>
          <w:color w:val="000000"/>
        </w:rPr>
        <w:t>диметилглудантан</w:t>
      </w:r>
      <w:r w:rsidR="00FD2B4B">
        <w:rPr>
          <w:color w:val="000000"/>
        </w:rPr>
        <w:t xml:space="preserve">, смесь изомеров 4- и 6-гидроксимемантина и 1-нитрозо-3,5-диметиладамантан. Ни один из этих метаболитов не обладает </w:t>
      </w:r>
      <w:r w:rsidR="00FD2B4B">
        <w:rPr>
          <w:color w:val="000000"/>
          <w:lang w:val="en-US"/>
        </w:rPr>
        <w:t>NMDA</w:t>
      </w:r>
      <w:r w:rsidR="00FD2B4B" w:rsidRPr="00A872D8">
        <w:rPr>
          <w:color w:val="000000"/>
        </w:rPr>
        <w:t>-</w:t>
      </w:r>
      <w:r w:rsidR="00FD2B4B">
        <w:rPr>
          <w:color w:val="000000"/>
        </w:rPr>
        <w:t xml:space="preserve">антагонистической активностью. Метаболизм, катализированный системой цитохрома </w:t>
      </w:r>
      <w:r w:rsidR="00FD2B4B">
        <w:rPr>
          <w:color w:val="000000"/>
          <w:lang w:val="en-US"/>
        </w:rPr>
        <w:t>P</w:t>
      </w:r>
      <w:r w:rsidR="00FD2B4B" w:rsidRPr="00A872D8">
        <w:rPr>
          <w:color w:val="000000"/>
        </w:rPr>
        <w:t>450</w:t>
      </w:r>
      <w:r w:rsidR="00FD2B4B">
        <w:rPr>
          <w:color w:val="000000"/>
        </w:rPr>
        <w:t xml:space="preserve">, в условиях </w:t>
      </w:r>
      <w:r w:rsidR="00FD2B4B" w:rsidRPr="00A872D8">
        <w:rPr>
          <w:i/>
          <w:color w:val="000000"/>
          <w:lang w:val="en-US"/>
        </w:rPr>
        <w:t>in</w:t>
      </w:r>
      <w:r w:rsidR="00FD2B4B" w:rsidRPr="00A872D8">
        <w:rPr>
          <w:i/>
          <w:color w:val="000000"/>
        </w:rPr>
        <w:t xml:space="preserve"> </w:t>
      </w:r>
      <w:r w:rsidR="00FD2B4B" w:rsidRPr="00A872D8">
        <w:rPr>
          <w:i/>
          <w:color w:val="000000"/>
          <w:lang w:val="en-US"/>
        </w:rPr>
        <w:t>vitro</w:t>
      </w:r>
      <w:r w:rsidR="00FD2B4B" w:rsidRPr="00A872D8">
        <w:rPr>
          <w:i/>
          <w:color w:val="000000"/>
        </w:rPr>
        <w:t xml:space="preserve"> </w:t>
      </w:r>
      <w:r w:rsidR="00FD2B4B">
        <w:rPr>
          <w:color w:val="000000"/>
        </w:rPr>
        <w:t>не обнаруживался.</w:t>
      </w:r>
    </w:p>
    <w:p w14:paraId="64C8F1A9" w14:textId="49C96B55" w:rsidR="00FD2B4B" w:rsidRPr="00E31EE9" w:rsidRDefault="00FD2B4B" w:rsidP="00A91FD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В исследовании перорального приема </w:t>
      </w:r>
      <w:r w:rsidRPr="00A872D8">
        <w:rPr>
          <w:color w:val="000000"/>
          <w:vertAlign w:val="superscript"/>
        </w:rPr>
        <w:t>14</w:t>
      </w:r>
      <w:r>
        <w:rPr>
          <w:color w:val="000000"/>
        </w:rPr>
        <w:t>С-мемантина в среднем 84</w:t>
      </w:r>
      <w:r w:rsidR="00640829">
        <w:rPr>
          <w:color w:val="000000"/>
        </w:rPr>
        <w:t xml:space="preserve"> </w:t>
      </w:r>
      <w:r>
        <w:rPr>
          <w:color w:val="000000"/>
        </w:rPr>
        <w:t>%</w:t>
      </w:r>
      <w:r w:rsidR="00E31EE9">
        <w:rPr>
          <w:color w:val="000000"/>
        </w:rPr>
        <w:t xml:space="preserve"> введенной дозы выводилось в течение 20 дней, при этом более 99</w:t>
      </w:r>
      <w:r w:rsidR="00640829">
        <w:rPr>
          <w:color w:val="000000"/>
        </w:rPr>
        <w:t xml:space="preserve"> </w:t>
      </w:r>
      <w:r w:rsidR="00E31EE9">
        <w:rPr>
          <w:color w:val="000000"/>
        </w:rPr>
        <w:t>% - через почки.</w:t>
      </w:r>
    </w:p>
    <w:p w14:paraId="54A34405" w14:textId="77777777" w:rsidR="00D31309" w:rsidRPr="00543E41" w:rsidRDefault="00D31309" w:rsidP="00A91FDF">
      <w:pPr>
        <w:keepNext/>
        <w:widowControl w:val="0"/>
        <w:jc w:val="both"/>
        <w:rPr>
          <w:b/>
          <w:bCs/>
          <w:i/>
          <w:color w:val="000000"/>
        </w:rPr>
      </w:pPr>
      <w:r w:rsidRPr="00543E41">
        <w:rPr>
          <w:bCs/>
          <w:i/>
          <w:color w:val="000000"/>
        </w:rPr>
        <w:t xml:space="preserve">Выведение </w:t>
      </w:r>
    </w:p>
    <w:p w14:paraId="167558AC" w14:textId="0DC30C61" w:rsidR="001C01CF" w:rsidRDefault="00E31EE9" w:rsidP="00A91FDF">
      <w:pPr>
        <w:widowControl w:val="0"/>
        <w:jc w:val="both"/>
        <w:rPr>
          <w:color w:val="000000"/>
        </w:rPr>
      </w:pPr>
      <w:r>
        <w:rPr>
          <w:color w:val="000000"/>
        </w:rPr>
        <w:t>Выведение мемантина носит моноэкспоненциальный характер с периодом полувыведения (</w:t>
      </w:r>
      <w:r>
        <w:rPr>
          <w:color w:val="000000"/>
          <w:lang w:val="en-US"/>
        </w:rPr>
        <w:t>t</w:t>
      </w:r>
      <w:r w:rsidRPr="00A872D8">
        <w:rPr>
          <w:color w:val="000000"/>
          <w:vertAlign w:val="subscript"/>
        </w:rPr>
        <w:t>1/2</w:t>
      </w:r>
      <w:r>
        <w:rPr>
          <w:color w:val="000000"/>
        </w:rPr>
        <w:t>) от 60 до 100 часов. У добровольцев с нормальной функцией почек общий клиренс (</w:t>
      </w:r>
      <w:r>
        <w:rPr>
          <w:color w:val="000000"/>
          <w:lang w:val="en-US"/>
        </w:rPr>
        <w:t>Cl</w:t>
      </w:r>
      <w:r w:rsidRPr="00A872D8">
        <w:rPr>
          <w:color w:val="000000"/>
          <w:vertAlign w:val="subscript"/>
          <w:lang w:val="en-US"/>
        </w:rPr>
        <w:t>tot</w:t>
      </w:r>
      <w:r w:rsidRPr="00A872D8">
        <w:rPr>
          <w:color w:val="000000"/>
        </w:rPr>
        <w:t xml:space="preserve">) </w:t>
      </w:r>
      <w:r>
        <w:rPr>
          <w:color w:val="000000"/>
        </w:rPr>
        <w:t>составляет 170 мл/мин/1,73 м</w:t>
      </w:r>
      <w:r w:rsidRPr="00A872D8">
        <w:rPr>
          <w:color w:val="000000"/>
          <w:vertAlign w:val="superscript"/>
        </w:rPr>
        <w:t>2</w:t>
      </w:r>
      <w:r>
        <w:rPr>
          <w:color w:val="000000"/>
        </w:rPr>
        <w:t>, при этом часть общего почечного клиренса дос</w:t>
      </w:r>
      <w:r w:rsidR="001F0FA7">
        <w:rPr>
          <w:color w:val="000000"/>
        </w:rPr>
        <w:t>тигается за счет канальцевой секреции.</w:t>
      </w:r>
    </w:p>
    <w:p w14:paraId="7A50D444" w14:textId="6FA5BD75" w:rsidR="001F0FA7" w:rsidRPr="001F0FA7" w:rsidRDefault="001F0FA7" w:rsidP="00A91FDF">
      <w:pPr>
        <w:widowControl w:val="0"/>
        <w:jc w:val="both"/>
        <w:rPr>
          <w:iCs/>
          <w:color w:val="000000"/>
        </w:rPr>
      </w:pPr>
      <w:r>
        <w:rPr>
          <w:color w:val="000000"/>
        </w:rPr>
        <w:t xml:space="preserve">Также в почках происходит канальцевая реабсорбция, вероятно, опосредованная белками, участвующими в транспорте катионов. Скорость почечного клиренса мемантина может снижаться при защелачивании мочи до </w:t>
      </w:r>
      <w:r>
        <w:rPr>
          <w:color w:val="000000"/>
          <w:lang w:val="en-US"/>
        </w:rPr>
        <w:t>pH</w:t>
      </w:r>
      <w:r w:rsidRPr="00A872D8">
        <w:rPr>
          <w:color w:val="000000"/>
        </w:rPr>
        <w:t xml:space="preserve"> 7-9</w:t>
      </w:r>
      <w:r>
        <w:rPr>
          <w:color w:val="000000"/>
        </w:rPr>
        <w:t xml:space="preserve">. Защелачивание мочи может быть результатом резких изменений в диете, например, таких как переход на вегетарианство или обильный прием щелочных желудочных буферов. </w:t>
      </w:r>
    </w:p>
    <w:p w14:paraId="2ED784B2" w14:textId="77777777" w:rsidR="00BA0B4F" w:rsidRPr="00543E41" w:rsidRDefault="00BA0B4F" w:rsidP="00A91FDF">
      <w:pPr>
        <w:keepNext/>
        <w:widowControl w:val="0"/>
        <w:jc w:val="both"/>
        <w:rPr>
          <w:i/>
          <w:color w:val="000000"/>
        </w:rPr>
      </w:pPr>
      <w:r w:rsidRPr="00543E41">
        <w:rPr>
          <w:i/>
          <w:color w:val="000000"/>
        </w:rPr>
        <w:t>Линейность</w:t>
      </w:r>
    </w:p>
    <w:p w14:paraId="1D0A5BB6" w14:textId="40EDDB28" w:rsidR="002075B9" w:rsidRPr="00543E41" w:rsidRDefault="00BA0B4F" w:rsidP="00A91FDF">
      <w:pPr>
        <w:widowControl w:val="0"/>
        <w:jc w:val="both"/>
        <w:rPr>
          <w:bCs/>
          <w:color w:val="000000"/>
        </w:rPr>
      </w:pPr>
      <w:r w:rsidRPr="00543E41">
        <w:rPr>
          <w:bCs/>
          <w:color w:val="000000"/>
        </w:rPr>
        <w:t>Исследования</w:t>
      </w:r>
      <w:r w:rsidR="001F0FA7">
        <w:rPr>
          <w:bCs/>
          <w:color w:val="000000"/>
        </w:rPr>
        <w:t xml:space="preserve"> с участием добровольцев продемонстрировали линейную фармакокинетику в диапазоне доз от 10 до 40 мг.</w:t>
      </w:r>
    </w:p>
    <w:p w14:paraId="316D0DB0" w14:textId="7FFD6E09" w:rsidR="002075B9" w:rsidRPr="00543E41" w:rsidRDefault="001F0FA7" w:rsidP="00A91FDF">
      <w:pPr>
        <w:keepNext/>
        <w:widowControl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Взаимосвязь между фармакокинетикой и фармакодинамикой</w:t>
      </w:r>
    </w:p>
    <w:p w14:paraId="3FB2F819" w14:textId="77777777" w:rsidR="007A46D5" w:rsidRPr="00543E41" w:rsidRDefault="002075B9" w:rsidP="00A91FDF">
      <w:pPr>
        <w:widowControl w:val="0"/>
        <w:jc w:val="both"/>
        <w:rPr>
          <w:color w:val="000000"/>
        </w:rPr>
      </w:pPr>
      <w:r w:rsidRPr="00543E41">
        <w:rPr>
          <w:bCs/>
          <w:color w:val="000000"/>
        </w:rPr>
        <w:t>При применении мемантина в дозе 20</w:t>
      </w:r>
      <w:r w:rsidR="00C45745" w:rsidRPr="00543E41">
        <w:rPr>
          <w:bCs/>
          <w:color w:val="000000"/>
        </w:rPr>
        <w:t> мг</w:t>
      </w:r>
      <w:r w:rsidRPr="00543E41">
        <w:rPr>
          <w:bCs/>
          <w:color w:val="000000"/>
        </w:rPr>
        <w:t>/сут уровень концентрации в цереброспинальной жидкости соответствует величине константы ингибирования, что для мемантина составляет 0,5</w:t>
      </w:r>
      <w:r w:rsidR="00DA1AE3" w:rsidRPr="00543E41">
        <w:rPr>
          <w:bCs/>
          <w:color w:val="000000"/>
        </w:rPr>
        <w:t> </w:t>
      </w:r>
      <w:r w:rsidRPr="00543E41">
        <w:rPr>
          <w:bCs/>
          <w:color w:val="000000"/>
        </w:rPr>
        <w:t>мкмоль в области фронтальной коры головного мозга.</w:t>
      </w:r>
    </w:p>
    <w:p w14:paraId="4FE4A4C8" w14:textId="77777777" w:rsidR="002075B9" w:rsidRPr="00543E41" w:rsidRDefault="002075B9" w:rsidP="00A91FDF">
      <w:pPr>
        <w:widowControl w:val="0"/>
      </w:pPr>
    </w:p>
    <w:p w14:paraId="1192745C" w14:textId="77777777" w:rsidR="007A46D5" w:rsidRPr="00134692" w:rsidRDefault="007A46D5" w:rsidP="00A91FDF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3E41">
        <w:rPr>
          <w:rFonts w:ascii="Times New Roman" w:hAnsi="Times New Roman" w:cs="Times New Roman"/>
          <w:sz w:val="24"/>
          <w:szCs w:val="24"/>
        </w:rPr>
        <w:t xml:space="preserve">Показания к применению </w:t>
      </w:r>
    </w:p>
    <w:p w14:paraId="3A86AFE2" w14:textId="2F1FA01F" w:rsidR="009A6900" w:rsidRPr="00543E41" w:rsidRDefault="0081585E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Деменция средней и тяжелой степени </w:t>
      </w:r>
      <w:r w:rsidR="00136E65" w:rsidRPr="00543E41">
        <w:rPr>
          <w:color w:val="000000"/>
        </w:rPr>
        <w:t xml:space="preserve">выраженности </w:t>
      </w:r>
      <w:r w:rsidRPr="00543E41">
        <w:rPr>
          <w:color w:val="000000"/>
        </w:rPr>
        <w:t>при болезни Альцгеймера</w:t>
      </w:r>
      <w:r w:rsidR="00C6266F">
        <w:rPr>
          <w:color w:val="000000"/>
        </w:rPr>
        <w:t>.</w:t>
      </w:r>
    </w:p>
    <w:p w14:paraId="5C164F5C" w14:textId="2964E35F" w:rsidR="007A46D5" w:rsidRDefault="007A46D5" w:rsidP="00A91FDF">
      <w:pPr>
        <w:widowControl w:val="0"/>
        <w:jc w:val="both"/>
      </w:pPr>
    </w:p>
    <w:p w14:paraId="1E736B56" w14:textId="77777777" w:rsidR="00A872D8" w:rsidRPr="00543E41" w:rsidRDefault="00A872D8" w:rsidP="00A91FDF">
      <w:pPr>
        <w:widowControl w:val="0"/>
        <w:jc w:val="both"/>
      </w:pPr>
    </w:p>
    <w:p w14:paraId="5EEF6997" w14:textId="77777777" w:rsidR="007A46D5" w:rsidRPr="00543E41" w:rsidRDefault="007A46D5" w:rsidP="00A91FDF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3E41">
        <w:rPr>
          <w:rFonts w:ascii="Times New Roman" w:hAnsi="Times New Roman" w:cs="Times New Roman"/>
          <w:sz w:val="24"/>
          <w:szCs w:val="24"/>
        </w:rPr>
        <w:lastRenderedPageBreak/>
        <w:t>Противопоказания</w:t>
      </w:r>
    </w:p>
    <w:p w14:paraId="21B2B8A6" w14:textId="77777777" w:rsidR="007338DC" w:rsidRPr="00543E41" w:rsidRDefault="007338DC" w:rsidP="00A91FDF">
      <w:pPr>
        <w:widowControl w:val="0"/>
        <w:numPr>
          <w:ilvl w:val="0"/>
          <w:numId w:val="3"/>
        </w:numPr>
        <w:jc w:val="both"/>
      </w:pPr>
      <w:r w:rsidRPr="00543E41">
        <w:t>повышенная чувствительность к мемантину или любому из компонентов, входящих в</w:t>
      </w:r>
      <w:r w:rsidR="00C45745" w:rsidRPr="00543E41">
        <w:t> </w:t>
      </w:r>
      <w:r w:rsidRPr="00543E41">
        <w:t>состав препарата</w:t>
      </w:r>
      <w:r w:rsidRPr="00543E41">
        <w:rPr>
          <w:color w:val="000000"/>
        </w:rPr>
        <w:t>;</w:t>
      </w:r>
    </w:p>
    <w:p w14:paraId="60627645" w14:textId="77777777" w:rsidR="007338DC" w:rsidRPr="00895826" w:rsidRDefault="007338DC" w:rsidP="00A91FDF">
      <w:pPr>
        <w:widowControl w:val="0"/>
        <w:numPr>
          <w:ilvl w:val="0"/>
          <w:numId w:val="3"/>
        </w:numPr>
        <w:jc w:val="both"/>
      </w:pPr>
      <w:r w:rsidRPr="00543E41">
        <w:t>печеночная недостаточность</w:t>
      </w:r>
      <w:r w:rsidR="002A1486" w:rsidRPr="00543E41">
        <w:t xml:space="preserve"> </w:t>
      </w:r>
      <w:r w:rsidR="00AB51FB" w:rsidRPr="00543E41">
        <w:t>тяжел</w:t>
      </w:r>
      <w:r w:rsidR="00AB51FB">
        <w:t>ой степени</w:t>
      </w:r>
      <w:r w:rsidR="00AB51FB" w:rsidRPr="00543E41">
        <w:t xml:space="preserve"> </w:t>
      </w:r>
      <w:r w:rsidR="002A1486" w:rsidRPr="00895826">
        <w:t>(класс С по классификации Чайлд-Пью)</w:t>
      </w:r>
      <w:r w:rsidRPr="00895826">
        <w:rPr>
          <w:color w:val="000000"/>
        </w:rPr>
        <w:t>;</w:t>
      </w:r>
    </w:p>
    <w:p w14:paraId="4D67BD99" w14:textId="1BBA3A60" w:rsidR="007338DC" w:rsidRPr="00543E41" w:rsidRDefault="007338DC" w:rsidP="00BD0E72">
      <w:pPr>
        <w:widowControl w:val="0"/>
        <w:numPr>
          <w:ilvl w:val="0"/>
          <w:numId w:val="3"/>
        </w:numPr>
        <w:jc w:val="both"/>
      </w:pPr>
      <w:r w:rsidRPr="00543E41">
        <w:t>непереносимость лактозы, дефицит лактазы, синдром глюкозо-галактозной мальабсорбции</w:t>
      </w:r>
      <w:r w:rsidR="004B77F1" w:rsidRPr="00543E41">
        <w:t>;</w:t>
      </w:r>
    </w:p>
    <w:p w14:paraId="27018CA4" w14:textId="77777777" w:rsidR="007338DC" w:rsidRPr="00543E41" w:rsidRDefault="007338DC" w:rsidP="00A91FDF">
      <w:pPr>
        <w:widowControl w:val="0"/>
        <w:numPr>
          <w:ilvl w:val="0"/>
          <w:numId w:val="3"/>
        </w:numPr>
        <w:jc w:val="both"/>
      </w:pPr>
      <w:r w:rsidRPr="00543E41">
        <w:rPr>
          <w:color w:val="000000"/>
        </w:rPr>
        <w:t>возраст до 18 лет (эффективность и безопасность не установлены).</w:t>
      </w:r>
    </w:p>
    <w:p w14:paraId="017D3411" w14:textId="77777777" w:rsidR="007338DC" w:rsidRPr="00543E41" w:rsidRDefault="007338DC" w:rsidP="00A91FDF">
      <w:pPr>
        <w:widowControl w:val="0"/>
      </w:pPr>
    </w:p>
    <w:p w14:paraId="3B432467" w14:textId="77777777" w:rsidR="009A6900" w:rsidRPr="00543E41" w:rsidRDefault="006676DF" w:rsidP="00A91FDF">
      <w:pPr>
        <w:keepNext/>
        <w:widowControl w:val="0"/>
        <w:jc w:val="both"/>
        <w:rPr>
          <w:b/>
          <w:color w:val="000000"/>
        </w:rPr>
      </w:pPr>
      <w:r w:rsidRPr="00543E41">
        <w:rPr>
          <w:b/>
          <w:color w:val="000000"/>
        </w:rPr>
        <w:t xml:space="preserve">С осторожностью </w:t>
      </w:r>
    </w:p>
    <w:p w14:paraId="380A40F3" w14:textId="4E12DA10" w:rsidR="001C7B80" w:rsidRDefault="003A697E" w:rsidP="00BD0E72">
      <w:pPr>
        <w:widowControl w:val="0"/>
        <w:jc w:val="both"/>
        <w:outlineLvl w:val="7"/>
        <w:rPr>
          <w:color w:val="000000"/>
        </w:rPr>
      </w:pPr>
      <w:r>
        <w:rPr>
          <w:color w:val="000000"/>
        </w:rPr>
        <w:t xml:space="preserve">С осторожностью назначают больным эпилепсией, судорогами (в том числе в анамнезе) и больным с наличием факторов, предрасполагающих к эпилепсии. Следует избегать одновременного применения антагонистов </w:t>
      </w:r>
      <w:r>
        <w:rPr>
          <w:color w:val="000000"/>
          <w:lang w:val="en-US"/>
        </w:rPr>
        <w:t>NMDA</w:t>
      </w:r>
      <w:r w:rsidR="001C7B80">
        <w:rPr>
          <w:color w:val="000000"/>
        </w:rPr>
        <w:t xml:space="preserve">-рецепторов, </w:t>
      </w:r>
      <w:r>
        <w:rPr>
          <w:color w:val="000000"/>
        </w:rPr>
        <w:t>таких как амантадин, кетамин, декстрометорфан. Данные соединения воздействуют на ту же систему рецепторов, что и мемантин, поэтому возможно развитие более частых или более выраженных нежелательных реакции (в основном со стороны центральной нервной</w:t>
      </w:r>
      <w:r w:rsidR="001C7B80">
        <w:rPr>
          <w:color w:val="000000"/>
        </w:rPr>
        <w:t xml:space="preserve"> </w:t>
      </w:r>
      <w:r>
        <w:rPr>
          <w:color w:val="000000"/>
        </w:rPr>
        <w:t>системы).</w:t>
      </w:r>
      <w:r>
        <w:rPr>
          <w:color w:val="000000"/>
        </w:rPr>
        <w:br/>
        <w:t xml:space="preserve">Наличие факторов, повышающих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 мочи, может потребовать тщательного наблюдения за пациентом. К таким факторам относится резкая смена диеты, например, переход на вегетарианство, или обильный прием щелочных желудочных буферов. Кроме того, </w:t>
      </w:r>
      <w:r>
        <w:rPr>
          <w:color w:val="000000"/>
          <w:lang w:val="en-US"/>
        </w:rPr>
        <w:t>pH</w:t>
      </w:r>
      <w:r w:rsidRPr="00543E41" w:rsidDel="003A697E">
        <w:rPr>
          <w:color w:val="000000"/>
        </w:rPr>
        <w:t xml:space="preserve"> </w:t>
      </w:r>
      <w:r>
        <w:rPr>
          <w:color w:val="000000"/>
        </w:rPr>
        <w:t>мочи может повышаться при почечном канальцево</w:t>
      </w:r>
      <w:r w:rsidR="001C7B80">
        <w:rPr>
          <w:color w:val="000000"/>
        </w:rPr>
        <w:t>м ацидозе или тяжелых</w:t>
      </w:r>
      <w:r>
        <w:rPr>
          <w:color w:val="000000"/>
        </w:rPr>
        <w:t xml:space="preserve"> инфекциях</w:t>
      </w:r>
      <w:r w:rsidR="001C7B80">
        <w:rPr>
          <w:color w:val="000000"/>
        </w:rPr>
        <w:t xml:space="preserve"> мочевыводящих путей, вызванных </w:t>
      </w:r>
      <w:r w:rsidR="001C7B80">
        <w:rPr>
          <w:color w:val="000000"/>
          <w:lang w:val="en-US"/>
        </w:rPr>
        <w:t>Proteus</w:t>
      </w:r>
      <w:r w:rsidR="001C7B80" w:rsidRPr="00A872D8">
        <w:rPr>
          <w:color w:val="000000"/>
        </w:rPr>
        <w:t xml:space="preserve"> </w:t>
      </w:r>
      <w:r w:rsidR="001C7B80">
        <w:rPr>
          <w:color w:val="000000"/>
          <w:lang w:val="en-US"/>
        </w:rPr>
        <w:t>bacteria</w:t>
      </w:r>
      <w:r w:rsidR="001C7B80">
        <w:rPr>
          <w:color w:val="000000"/>
        </w:rPr>
        <w:t>.</w:t>
      </w:r>
    </w:p>
    <w:p w14:paraId="297B0F82" w14:textId="7D2C4FDC" w:rsidR="00E40A59" w:rsidRDefault="001C7B80" w:rsidP="00BD0E72">
      <w:pPr>
        <w:widowControl w:val="0"/>
        <w:jc w:val="both"/>
        <w:outlineLvl w:val="7"/>
        <w:rPr>
          <w:color w:val="000000"/>
        </w:rPr>
      </w:pPr>
      <w:r>
        <w:rPr>
          <w:color w:val="000000"/>
        </w:rPr>
        <w:t xml:space="preserve">Из большинства клинических испытаний исключались пациенты, недавно перенесшие инфаркт миокарда или имеющие некомпенсированную застойную сердечную недостаточность (класс </w:t>
      </w:r>
      <w:r>
        <w:rPr>
          <w:color w:val="000000"/>
          <w:lang w:val="en-US"/>
        </w:rPr>
        <w:t>III</w:t>
      </w:r>
      <w:r w:rsidRPr="00A872D8">
        <w:rPr>
          <w:color w:val="000000"/>
        </w:rPr>
        <w:t>-</w:t>
      </w:r>
      <w:r>
        <w:rPr>
          <w:color w:val="000000"/>
          <w:lang w:val="en-US"/>
        </w:rPr>
        <w:t>IV</w:t>
      </w:r>
      <w:r w:rsidRPr="00A872D8">
        <w:rPr>
          <w:color w:val="000000"/>
        </w:rPr>
        <w:t xml:space="preserve"> </w:t>
      </w:r>
      <w:r>
        <w:rPr>
          <w:color w:val="000000"/>
        </w:rPr>
        <w:t xml:space="preserve">по </w:t>
      </w:r>
      <w:r>
        <w:rPr>
          <w:color w:val="000000"/>
          <w:lang w:val="en-US"/>
        </w:rPr>
        <w:t>NYHA</w:t>
      </w:r>
      <w:r>
        <w:rPr>
          <w:color w:val="000000"/>
        </w:rPr>
        <w:t>), неконтролируемую артериальную гипертензию. Поэтому в отношении пациентов с данными состояниями имеются лишь ограниченные данные, и такие пациенты должны находиться под тщательным наблюдением.</w:t>
      </w:r>
    </w:p>
    <w:p w14:paraId="2800A3C8" w14:textId="77777777" w:rsidR="00A872D8" w:rsidRPr="003A697E" w:rsidRDefault="00A872D8" w:rsidP="00BD0E72">
      <w:pPr>
        <w:widowControl w:val="0"/>
        <w:jc w:val="both"/>
        <w:outlineLvl w:val="7"/>
        <w:rPr>
          <w:b/>
          <w:iCs/>
        </w:rPr>
      </w:pPr>
    </w:p>
    <w:p w14:paraId="710EBE06" w14:textId="77777777" w:rsidR="000A4F10" w:rsidRPr="00543E41" w:rsidRDefault="000A4F10" w:rsidP="00A91FDF">
      <w:pPr>
        <w:keepNext/>
        <w:widowControl w:val="0"/>
        <w:jc w:val="both"/>
        <w:outlineLvl w:val="7"/>
        <w:rPr>
          <w:b/>
          <w:iCs/>
        </w:rPr>
      </w:pPr>
      <w:r w:rsidRPr="00543E41">
        <w:rPr>
          <w:b/>
          <w:iCs/>
        </w:rPr>
        <w:t>Применение при беременности и в период грудного вскармливания</w:t>
      </w:r>
    </w:p>
    <w:p w14:paraId="6B5DAD47" w14:textId="77777777" w:rsidR="001C7B80" w:rsidRDefault="001C7B80" w:rsidP="00A91FDF">
      <w:pPr>
        <w:widowControl w:val="0"/>
        <w:jc w:val="both"/>
        <w:rPr>
          <w:bCs/>
          <w:i/>
        </w:rPr>
      </w:pPr>
      <w:r>
        <w:rPr>
          <w:bCs/>
          <w:i/>
        </w:rPr>
        <w:t>Беременность</w:t>
      </w:r>
    </w:p>
    <w:p w14:paraId="34FF957E" w14:textId="3CF519A0" w:rsidR="00BD0E72" w:rsidRDefault="001C7B80" w:rsidP="00A91FDF">
      <w:pPr>
        <w:widowControl w:val="0"/>
        <w:jc w:val="both"/>
        <w:rPr>
          <w:bCs/>
        </w:rPr>
      </w:pPr>
      <w:r>
        <w:rPr>
          <w:bCs/>
        </w:rPr>
        <w:t xml:space="preserve">Клинические данные о приеме мемантина во время беременности отсутствуют. Исследования на животных свидетельствуют о возможной задержке внутриутробного развития при применении препарата в дозах, аналогичных или немного превышающих дозы, применяемые у человека. Потенциальный </w:t>
      </w:r>
      <w:r w:rsidR="00BD0E72">
        <w:rPr>
          <w:bCs/>
        </w:rPr>
        <w:t xml:space="preserve">риск для человека неизвестен. </w:t>
      </w:r>
      <w:r>
        <w:rPr>
          <w:bCs/>
        </w:rPr>
        <w:t xml:space="preserve">Мемантин не следует применять </w:t>
      </w:r>
      <w:r w:rsidR="00BD0E72">
        <w:rPr>
          <w:bCs/>
        </w:rPr>
        <w:t>во время беременности</w:t>
      </w:r>
      <w:r>
        <w:rPr>
          <w:bCs/>
        </w:rPr>
        <w:t>,</w:t>
      </w:r>
      <w:r w:rsidR="00BD0E72">
        <w:rPr>
          <w:bCs/>
        </w:rPr>
        <w:t xml:space="preserve"> </w:t>
      </w:r>
      <w:r>
        <w:rPr>
          <w:bCs/>
        </w:rPr>
        <w:t>за исключением случаев явной необходимости</w:t>
      </w:r>
      <w:r w:rsidR="00BD0E72">
        <w:rPr>
          <w:bCs/>
        </w:rPr>
        <w:t>.</w:t>
      </w:r>
    </w:p>
    <w:p w14:paraId="1E59BFE0" w14:textId="77777777" w:rsidR="00BD0E72" w:rsidRPr="00BD0E72" w:rsidRDefault="00BD0E72" w:rsidP="00A91FDF">
      <w:pPr>
        <w:widowControl w:val="0"/>
        <w:jc w:val="both"/>
        <w:rPr>
          <w:bCs/>
          <w:i/>
        </w:rPr>
      </w:pPr>
      <w:r w:rsidRPr="00A872D8">
        <w:rPr>
          <w:bCs/>
          <w:i/>
        </w:rPr>
        <w:t>К</w:t>
      </w:r>
      <w:r w:rsidRPr="00BD0E72">
        <w:rPr>
          <w:bCs/>
          <w:i/>
        </w:rPr>
        <w:t>ормление грудью</w:t>
      </w:r>
    </w:p>
    <w:p w14:paraId="17B2E1D6" w14:textId="41DA84C6" w:rsidR="00BD0E72" w:rsidRDefault="00BD0E72" w:rsidP="00A91FDF">
      <w:pPr>
        <w:widowControl w:val="0"/>
        <w:jc w:val="both"/>
        <w:rPr>
          <w:bCs/>
        </w:rPr>
      </w:pPr>
      <w:r>
        <w:rPr>
          <w:bCs/>
        </w:rPr>
        <w:t>Неизвестно, проникает ли мемантин в грудное молоко, однако, учитывая липофильные свойства субстанции, это является вероятным. Женщины, принимающие мемантин, не должны кормить грудью ребенка.</w:t>
      </w:r>
    </w:p>
    <w:p w14:paraId="577E7338" w14:textId="77777777" w:rsidR="00BD0E72" w:rsidRDefault="00BD0E72" w:rsidP="00A91FDF">
      <w:pPr>
        <w:widowControl w:val="0"/>
        <w:jc w:val="both"/>
        <w:rPr>
          <w:bCs/>
          <w:i/>
        </w:rPr>
      </w:pPr>
      <w:r>
        <w:rPr>
          <w:bCs/>
          <w:i/>
        </w:rPr>
        <w:t>Фертильность</w:t>
      </w:r>
    </w:p>
    <w:p w14:paraId="49FEA348" w14:textId="4BEA0C58" w:rsidR="00983589" w:rsidRDefault="00BD0E72" w:rsidP="00A91FDF">
      <w:pPr>
        <w:widowControl w:val="0"/>
        <w:jc w:val="both"/>
        <w:rPr>
          <w:bCs/>
        </w:rPr>
      </w:pPr>
      <w:r>
        <w:rPr>
          <w:bCs/>
        </w:rPr>
        <w:t>Доклинические исследования мужской и женской фертильности нежелательных эффектов применения мемантина не выявили.</w:t>
      </w:r>
    </w:p>
    <w:p w14:paraId="6CE878B0" w14:textId="77777777" w:rsidR="00A872D8" w:rsidRPr="00543E41" w:rsidRDefault="00A872D8" w:rsidP="00A91FDF">
      <w:pPr>
        <w:widowControl w:val="0"/>
        <w:jc w:val="both"/>
        <w:rPr>
          <w:bCs/>
        </w:rPr>
      </w:pPr>
    </w:p>
    <w:p w14:paraId="48CACD35" w14:textId="77777777" w:rsidR="003C29C9" w:rsidRPr="00543E41" w:rsidRDefault="007A46D5" w:rsidP="00A91FDF">
      <w:pPr>
        <w:keepNext/>
        <w:widowControl w:val="0"/>
        <w:jc w:val="both"/>
      </w:pPr>
      <w:r w:rsidRPr="00543E41">
        <w:rPr>
          <w:b/>
          <w:bCs/>
        </w:rPr>
        <w:t>Способ применения и дозы</w:t>
      </w:r>
      <w:r w:rsidRPr="00543E41">
        <w:t xml:space="preserve"> </w:t>
      </w:r>
    </w:p>
    <w:p w14:paraId="272F521B" w14:textId="5EBFF41A" w:rsidR="00681F10" w:rsidRPr="00543E41" w:rsidRDefault="00681F10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Терапию мемантином следует начинать и проводить под наблюдением врача с опытом диагностики и лечения деменции</w:t>
      </w:r>
      <w:r w:rsidR="006C3A2A">
        <w:rPr>
          <w:color w:val="000000"/>
        </w:rPr>
        <w:t xml:space="preserve"> </w:t>
      </w:r>
      <w:r w:rsidR="00C232B6">
        <w:rPr>
          <w:color w:val="000000"/>
        </w:rPr>
        <w:t xml:space="preserve">при болезни Альцгеймера. </w:t>
      </w:r>
      <w:r w:rsidR="009E4A44" w:rsidRPr="00543E41">
        <w:rPr>
          <w:color w:val="000000"/>
        </w:rPr>
        <w:t xml:space="preserve">Диагноз </w:t>
      </w:r>
      <w:r w:rsidR="006A0671" w:rsidRPr="00543E41">
        <w:rPr>
          <w:color w:val="000000"/>
        </w:rPr>
        <w:t xml:space="preserve">должен быть установлен </w:t>
      </w:r>
      <w:r w:rsidR="009E4A44" w:rsidRPr="00543E41">
        <w:rPr>
          <w:color w:val="000000"/>
        </w:rPr>
        <w:t>в</w:t>
      </w:r>
      <w:r w:rsidR="00C45745" w:rsidRPr="00543E41">
        <w:rPr>
          <w:color w:val="000000"/>
        </w:rPr>
        <w:t> </w:t>
      </w:r>
      <w:r w:rsidR="009E4A44" w:rsidRPr="00543E41">
        <w:rPr>
          <w:color w:val="000000"/>
        </w:rPr>
        <w:t xml:space="preserve">соответствии с действующими рекомендациями. </w:t>
      </w:r>
      <w:r w:rsidR="006A0671" w:rsidRPr="00543E41">
        <w:rPr>
          <w:color w:val="000000"/>
        </w:rPr>
        <w:t>Лечение следует начинать только в том случае, если лицо, осуществляющее постоянный уход за пациентом, будет регулярно контролировать прием препарата пациентом.</w:t>
      </w:r>
      <w:r w:rsidRPr="00543E41">
        <w:rPr>
          <w:color w:val="000000"/>
        </w:rPr>
        <w:t xml:space="preserve"> Переносимость и дозировк</w:t>
      </w:r>
      <w:r w:rsidR="008B2A1A" w:rsidRPr="00543E41">
        <w:rPr>
          <w:color w:val="000000"/>
        </w:rPr>
        <w:t>у</w:t>
      </w:r>
      <w:r w:rsidRPr="00543E41">
        <w:rPr>
          <w:color w:val="000000"/>
        </w:rPr>
        <w:t xml:space="preserve"> мемантина </w:t>
      </w:r>
      <w:r w:rsidR="008B2A1A" w:rsidRPr="00543E41">
        <w:rPr>
          <w:color w:val="000000"/>
        </w:rPr>
        <w:t xml:space="preserve">необходимо </w:t>
      </w:r>
      <w:r w:rsidRPr="00543E41">
        <w:rPr>
          <w:color w:val="000000"/>
        </w:rPr>
        <w:t xml:space="preserve">регулярно пересматривать, желательно в течение первых трех месяцев после начала лечения. После этого клиническая эффективность мемантина и переносимость пациентом лечения должны </w:t>
      </w:r>
      <w:r w:rsidR="00003DF0" w:rsidRPr="00543E41">
        <w:rPr>
          <w:color w:val="000000"/>
        </w:rPr>
        <w:t xml:space="preserve">пересматриваться согласно действующим </w:t>
      </w:r>
      <w:r w:rsidR="00003DF0" w:rsidRPr="00543E41">
        <w:rPr>
          <w:color w:val="000000"/>
        </w:rPr>
        <w:lastRenderedPageBreak/>
        <w:t xml:space="preserve">клиническим рекомендациям. Поддерживающее лечение можно продолжать </w:t>
      </w:r>
      <w:r w:rsidR="001432B7" w:rsidRPr="00543E41">
        <w:rPr>
          <w:color w:val="000000"/>
        </w:rPr>
        <w:t>неопределенно долго при наличии</w:t>
      </w:r>
      <w:r w:rsidR="009E4A44" w:rsidRPr="00543E41">
        <w:rPr>
          <w:color w:val="000000"/>
        </w:rPr>
        <w:t xml:space="preserve"> положительного </w:t>
      </w:r>
      <w:r w:rsidR="00003DF0" w:rsidRPr="00543E41">
        <w:rPr>
          <w:color w:val="000000"/>
        </w:rPr>
        <w:t xml:space="preserve">терапевтического эффекта и хорошей переносимости препарата. Прием </w:t>
      </w:r>
      <w:r w:rsidR="001432B7" w:rsidRPr="00543E41">
        <w:rPr>
          <w:color w:val="000000"/>
        </w:rPr>
        <w:t>м</w:t>
      </w:r>
      <w:r w:rsidR="00003DF0" w:rsidRPr="00543E41">
        <w:rPr>
          <w:color w:val="000000"/>
        </w:rPr>
        <w:t xml:space="preserve">емантина следует прекратить при отсутствии </w:t>
      </w:r>
      <w:r w:rsidR="009E4A44" w:rsidRPr="00543E41">
        <w:rPr>
          <w:color w:val="000000"/>
        </w:rPr>
        <w:t xml:space="preserve">положительного </w:t>
      </w:r>
      <w:r w:rsidR="00003DF0" w:rsidRPr="00543E41">
        <w:rPr>
          <w:color w:val="000000"/>
        </w:rPr>
        <w:t>терапевтического эффекта или непереносимости пациентом препарата.</w:t>
      </w:r>
    </w:p>
    <w:p w14:paraId="5D6DA635" w14:textId="77777777" w:rsidR="003C29C9" w:rsidRPr="00543E41" w:rsidRDefault="00003DF0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Препарат следует принимать</w:t>
      </w:r>
      <w:r w:rsidR="009A6900" w:rsidRPr="00543E41">
        <w:rPr>
          <w:color w:val="000000"/>
        </w:rPr>
        <w:t xml:space="preserve"> внутрь</w:t>
      </w:r>
      <w:r w:rsidR="003C29C9" w:rsidRPr="00543E41">
        <w:rPr>
          <w:color w:val="000000"/>
        </w:rPr>
        <w:t xml:space="preserve"> </w:t>
      </w:r>
      <w:r w:rsidR="00C019B9" w:rsidRPr="00543E41">
        <w:rPr>
          <w:color w:val="000000"/>
        </w:rPr>
        <w:t>один</w:t>
      </w:r>
      <w:r w:rsidR="003C29C9" w:rsidRPr="00543E41">
        <w:rPr>
          <w:color w:val="000000"/>
        </w:rPr>
        <w:t xml:space="preserve"> раз в </w:t>
      </w:r>
      <w:r w:rsidR="00AC2EC7" w:rsidRPr="00543E41">
        <w:rPr>
          <w:color w:val="000000"/>
        </w:rPr>
        <w:t>сутки</w:t>
      </w:r>
      <w:r w:rsidR="003C29C9" w:rsidRPr="00543E41">
        <w:rPr>
          <w:color w:val="000000"/>
        </w:rPr>
        <w:t xml:space="preserve"> и всегда в одно и то</w:t>
      </w:r>
      <w:r w:rsidR="00BC54EE">
        <w:rPr>
          <w:color w:val="000000"/>
        </w:rPr>
        <w:t xml:space="preserve"> </w:t>
      </w:r>
      <w:r w:rsidR="003C29C9" w:rsidRPr="00543E41">
        <w:rPr>
          <w:color w:val="000000"/>
        </w:rPr>
        <w:t>же время, независимо от приема пищи</w:t>
      </w:r>
      <w:r w:rsidR="009A6900" w:rsidRPr="00543E41">
        <w:rPr>
          <w:color w:val="000000"/>
        </w:rPr>
        <w:t>.</w:t>
      </w:r>
      <w:r w:rsidRPr="00543E41">
        <w:rPr>
          <w:color w:val="000000"/>
        </w:rPr>
        <w:t xml:space="preserve"> Начинать лечение </w:t>
      </w:r>
      <w:r w:rsidR="001E036E" w:rsidRPr="00543E41">
        <w:rPr>
          <w:color w:val="000000"/>
        </w:rPr>
        <w:t>м</w:t>
      </w:r>
      <w:r w:rsidRPr="00543E41">
        <w:rPr>
          <w:color w:val="000000"/>
        </w:rPr>
        <w:t xml:space="preserve">емантином рекомендуют с </w:t>
      </w:r>
      <w:r w:rsidR="00BD1C11" w:rsidRPr="00543E41">
        <w:rPr>
          <w:color w:val="000000"/>
        </w:rPr>
        <w:t xml:space="preserve">применения </w:t>
      </w:r>
      <w:r w:rsidRPr="00543E41">
        <w:rPr>
          <w:color w:val="000000"/>
        </w:rPr>
        <w:t>минимально эффективных доз.</w:t>
      </w:r>
    </w:p>
    <w:p w14:paraId="528E1545" w14:textId="1C753E22" w:rsidR="00A1230B" w:rsidRDefault="00BD1C11" w:rsidP="00A91FDF">
      <w:pPr>
        <w:widowControl w:val="0"/>
        <w:jc w:val="both"/>
        <w:rPr>
          <w:noProof/>
          <w:color w:val="000000"/>
        </w:rPr>
      </w:pPr>
      <w:r w:rsidRPr="00543E41">
        <w:rPr>
          <w:color w:val="000000"/>
        </w:rPr>
        <w:t xml:space="preserve">Применяют </w:t>
      </w:r>
      <w:r w:rsidR="009A6900" w:rsidRPr="00543E41">
        <w:rPr>
          <w:color w:val="000000"/>
        </w:rPr>
        <w:t xml:space="preserve">в течение 1-й недели терапии </w:t>
      </w:r>
      <w:r w:rsidR="003C29C9" w:rsidRPr="00543E41">
        <w:rPr>
          <w:color w:val="000000"/>
        </w:rPr>
        <w:t xml:space="preserve">(дни 1-7) </w:t>
      </w:r>
      <w:r w:rsidR="009A6900" w:rsidRPr="00543E41">
        <w:rPr>
          <w:color w:val="000000"/>
        </w:rPr>
        <w:t>в дозе 5</w:t>
      </w:r>
      <w:r w:rsidR="00C45745" w:rsidRPr="00543E41">
        <w:rPr>
          <w:color w:val="000000"/>
        </w:rPr>
        <w:t> мг</w:t>
      </w:r>
      <w:r w:rsidR="009A6900" w:rsidRPr="00543E41">
        <w:rPr>
          <w:color w:val="000000"/>
        </w:rPr>
        <w:t>/</w:t>
      </w:r>
      <w:r w:rsidR="003C29C9" w:rsidRPr="00543E41">
        <w:rPr>
          <w:noProof/>
          <w:color w:val="000000"/>
        </w:rPr>
        <w:t>сут</w:t>
      </w:r>
      <w:r w:rsidR="00D541CB">
        <w:rPr>
          <w:noProof/>
          <w:color w:val="000000"/>
        </w:rPr>
        <w:t xml:space="preserve"> </w:t>
      </w:r>
      <w:r w:rsidR="009A6900" w:rsidRPr="00543E41">
        <w:rPr>
          <w:color w:val="000000"/>
        </w:rPr>
        <w:t>, в течение 2-й недели</w:t>
      </w:r>
      <w:r w:rsidR="003C29C9" w:rsidRPr="00543E41">
        <w:rPr>
          <w:color w:val="000000"/>
        </w:rPr>
        <w:t xml:space="preserve"> (дни 8-14)</w:t>
      </w:r>
      <w:r w:rsidR="009A6900" w:rsidRPr="00543E41">
        <w:rPr>
          <w:color w:val="000000"/>
        </w:rPr>
        <w:t xml:space="preserve"> в дозе</w:t>
      </w:r>
      <w:r w:rsidR="003C29C9" w:rsidRPr="00543E41">
        <w:rPr>
          <w:color w:val="000000"/>
        </w:rPr>
        <w:t xml:space="preserve"> </w:t>
      </w:r>
      <w:r w:rsidR="009A6900" w:rsidRPr="00543E41">
        <w:rPr>
          <w:color w:val="000000"/>
        </w:rPr>
        <w:t>10</w:t>
      </w:r>
      <w:r w:rsidR="00C45745" w:rsidRPr="00543E41">
        <w:rPr>
          <w:color w:val="000000"/>
        </w:rPr>
        <w:t> мг</w:t>
      </w:r>
      <w:r w:rsidR="009A6900" w:rsidRPr="00543E41">
        <w:rPr>
          <w:color w:val="000000"/>
        </w:rPr>
        <w:t>/</w:t>
      </w:r>
      <w:r w:rsidR="003C29C9" w:rsidRPr="00543E41">
        <w:rPr>
          <w:noProof/>
          <w:color w:val="000000"/>
        </w:rPr>
        <w:t>сут</w:t>
      </w:r>
      <w:r w:rsidR="00D541CB">
        <w:rPr>
          <w:noProof/>
          <w:color w:val="000000"/>
        </w:rPr>
        <w:t xml:space="preserve"> (1 таблетка 10 мг)</w:t>
      </w:r>
      <w:r w:rsidR="009A6900" w:rsidRPr="00543E41">
        <w:rPr>
          <w:color w:val="000000"/>
        </w:rPr>
        <w:t>, в течение 3-й недели</w:t>
      </w:r>
      <w:r w:rsidR="003C29C9" w:rsidRPr="00543E41">
        <w:rPr>
          <w:color w:val="000000"/>
        </w:rPr>
        <w:t xml:space="preserve"> (дни 15-21</w:t>
      </w:r>
      <w:r w:rsidR="00A1230B" w:rsidRPr="00543E41">
        <w:rPr>
          <w:color w:val="000000"/>
        </w:rPr>
        <w:t>)</w:t>
      </w:r>
      <w:r w:rsidR="009A6900" w:rsidRPr="00543E41">
        <w:rPr>
          <w:color w:val="000000"/>
        </w:rPr>
        <w:t xml:space="preserve"> </w:t>
      </w:r>
      <w:r w:rsidR="00A1230B" w:rsidRPr="00543E41">
        <w:rPr>
          <w:color w:val="000000"/>
        </w:rPr>
        <w:t xml:space="preserve">в дозе </w:t>
      </w:r>
      <w:r w:rsidR="009A6900" w:rsidRPr="00543E41">
        <w:rPr>
          <w:color w:val="000000"/>
        </w:rPr>
        <w:t>15</w:t>
      </w:r>
      <w:r w:rsidR="00C45745" w:rsidRPr="00543E41">
        <w:rPr>
          <w:color w:val="000000"/>
        </w:rPr>
        <w:t> мг</w:t>
      </w:r>
      <w:r w:rsidR="009A6900" w:rsidRPr="00543E41">
        <w:rPr>
          <w:color w:val="000000"/>
        </w:rPr>
        <w:t>/</w:t>
      </w:r>
      <w:r w:rsidR="00A1230B" w:rsidRPr="00543E41">
        <w:rPr>
          <w:noProof/>
          <w:color w:val="000000"/>
        </w:rPr>
        <w:t>сут,</w:t>
      </w:r>
      <w:r w:rsidR="00C47CF6">
        <w:rPr>
          <w:noProof/>
          <w:color w:val="000000"/>
        </w:rPr>
        <w:t xml:space="preserve"> </w:t>
      </w:r>
      <w:r w:rsidR="00AC2EC7" w:rsidRPr="00543E41">
        <w:rPr>
          <w:noProof/>
          <w:color w:val="000000"/>
        </w:rPr>
        <w:t xml:space="preserve">начиная с </w:t>
      </w:r>
      <w:r w:rsidR="00A1230B" w:rsidRPr="00543E41">
        <w:rPr>
          <w:noProof/>
          <w:color w:val="000000"/>
        </w:rPr>
        <w:t xml:space="preserve">4-й недели </w:t>
      </w:r>
      <w:r w:rsidR="00C019B9" w:rsidRPr="00543E41">
        <w:rPr>
          <w:noProof/>
          <w:color w:val="000000"/>
        </w:rPr>
        <w:t xml:space="preserve">– </w:t>
      </w:r>
      <w:r w:rsidR="00A1230B" w:rsidRPr="00543E41">
        <w:rPr>
          <w:noProof/>
          <w:color w:val="000000"/>
        </w:rPr>
        <w:t>в дозе 20</w:t>
      </w:r>
      <w:r w:rsidR="00C45745" w:rsidRPr="00543E41">
        <w:rPr>
          <w:noProof/>
          <w:color w:val="000000"/>
        </w:rPr>
        <w:t> мг</w:t>
      </w:r>
      <w:r w:rsidR="00A1230B" w:rsidRPr="00543E41">
        <w:rPr>
          <w:noProof/>
          <w:color w:val="000000"/>
        </w:rPr>
        <w:t>/сут</w:t>
      </w:r>
      <w:r w:rsidR="00D541CB">
        <w:rPr>
          <w:noProof/>
          <w:color w:val="000000"/>
        </w:rPr>
        <w:t xml:space="preserve"> (1 таблетка 20 мг)</w:t>
      </w:r>
      <w:r w:rsidR="00A1230B" w:rsidRPr="00543E41">
        <w:rPr>
          <w:noProof/>
          <w:color w:val="000000"/>
        </w:rPr>
        <w:t>.</w:t>
      </w:r>
    </w:p>
    <w:p w14:paraId="33B75754" w14:textId="111CD4C0" w:rsidR="00671A33" w:rsidRPr="00543E41" w:rsidRDefault="00671A33" w:rsidP="00A91FDF">
      <w:pPr>
        <w:widowControl w:val="0"/>
        <w:jc w:val="both"/>
        <w:rPr>
          <w:noProof/>
          <w:color w:val="000000"/>
        </w:rPr>
      </w:pPr>
      <w:r w:rsidRPr="00671A33">
        <w:rPr>
          <w:noProof/>
          <w:color w:val="000000"/>
        </w:rPr>
        <w:t>Учитывая невозможность деления таблетки, рекомендуется на этапе наращивания дозы применять препараты мемантина в таблетках 5 мг и 15 мг.</w:t>
      </w:r>
    </w:p>
    <w:p w14:paraId="2FD2E5FD" w14:textId="77777777" w:rsidR="00AC2EC7" w:rsidRPr="00543E41" w:rsidRDefault="00AC2EC7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Рекоменд</w:t>
      </w:r>
      <w:r w:rsidR="005451C7" w:rsidRPr="00543E41">
        <w:rPr>
          <w:color w:val="000000"/>
        </w:rPr>
        <w:t>уемая поддерживающая доза –</w:t>
      </w:r>
      <w:r w:rsidR="001432B7" w:rsidRPr="00543E41">
        <w:rPr>
          <w:color w:val="000000"/>
        </w:rPr>
        <w:t xml:space="preserve"> </w:t>
      </w:r>
      <w:r w:rsidRPr="00543E41">
        <w:rPr>
          <w:color w:val="000000"/>
        </w:rPr>
        <w:t>20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>/сут.</w:t>
      </w:r>
    </w:p>
    <w:p w14:paraId="547BF7E8" w14:textId="77777777" w:rsidR="00C47CF6" w:rsidRDefault="00A1230B" w:rsidP="00A91FDF">
      <w:pPr>
        <w:keepNext/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Максимальная суточная доза </w:t>
      </w:r>
      <w:r w:rsidR="005451C7" w:rsidRPr="00543E41">
        <w:rPr>
          <w:color w:val="000000"/>
        </w:rPr>
        <w:t xml:space="preserve">– </w:t>
      </w:r>
      <w:r w:rsidRPr="00543E41">
        <w:rPr>
          <w:color w:val="000000"/>
        </w:rPr>
        <w:t>20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>.</w:t>
      </w:r>
    </w:p>
    <w:p w14:paraId="1D227EBB" w14:textId="51701900" w:rsidR="001E036E" w:rsidRPr="00543E41" w:rsidRDefault="001E036E" w:rsidP="00A91FDF">
      <w:pPr>
        <w:keepNext/>
        <w:widowControl w:val="0"/>
        <w:jc w:val="both"/>
        <w:rPr>
          <w:b/>
          <w:i/>
          <w:color w:val="000000"/>
        </w:rPr>
      </w:pPr>
      <w:r w:rsidRPr="00543E41">
        <w:rPr>
          <w:b/>
          <w:i/>
          <w:color w:val="000000"/>
        </w:rPr>
        <w:t>Особые группы пациентов</w:t>
      </w:r>
    </w:p>
    <w:p w14:paraId="4F648B79" w14:textId="77777777" w:rsidR="001E036E" w:rsidRPr="00543E41" w:rsidRDefault="001E036E" w:rsidP="00A91FDF">
      <w:pPr>
        <w:keepNext/>
        <w:widowControl w:val="0"/>
        <w:jc w:val="both"/>
        <w:rPr>
          <w:i/>
          <w:color w:val="000000"/>
        </w:rPr>
      </w:pPr>
      <w:r w:rsidRPr="00543E41">
        <w:rPr>
          <w:i/>
          <w:color w:val="000000"/>
        </w:rPr>
        <w:t>Пациенты пожилого возраста (старше 65 лет)</w:t>
      </w:r>
    </w:p>
    <w:p w14:paraId="5F477BFE" w14:textId="7CCFD0FB" w:rsidR="00AC2EC7" w:rsidRPr="00543E41" w:rsidRDefault="00102DC0" w:rsidP="00A91FDF">
      <w:pPr>
        <w:widowControl w:val="0"/>
        <w:jc w:val="both"/>
        <w:rPr>
          <w:color w:val="000000"/>
        </w:rPr>
      </w:pPr>
      <w:r>
        <w:rPr>
          <w:color w:val="000000"/>
        </w:rPr>
        <w:t>Рекомендуемая доза составляет 20 мг в сутки.</w:t>
      </w:r>
    </w:p>
    <w:p w14:paraId="546CB3B6" w14:textId="77777777" w:rsidR="001E036E" w:rsidRPr="00543E41" w:rsidRDefault="001E036E" w:rsidP="00A91FDF">
      <w:pPr>
        <w:keepNext/>
        <w:widowControl w:val="0"/>
        <w:jc w:val="both"/>
        <w:rPr>
          <w:i/>
          <w:color w:val="000000"/>
        </w:rPr>
      </w:pPr>
      <w:r w:rsidRPr="00543E41">
        <w:rPr>
          <w:i/>
          <w:color w:val="000000"/>
        </w:rPr>
        <w:t>Пациенты с нарушением функции почек</w:t>
      </w:r>
    </w:p>
    <w:p w14:paraId="6937314B" w14:textId="77777777" w:rsidR="00AC2EC7" w:rsidRPr="00543E41" w:rsidRDefault="001E036E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У пациентов с клиренсом креатинина 50-80</w:t>
      </w:r>
      <w:r w:rsidR="00C45745" w:rsidRPr="00543E41">
        <w:rPr>
          <w:color w:val="000000"/>
        </w:rPr>
        <w:t> мл</w:t>
      </w:r>
      <w:r w:rsidRPr="00543E41">
        <w:rPr>
          <w:color w:val="000000"/>
        </w:rPr>
        <w:t xml:space="preserve">/мин </w:t>
      </w:r>
      <w:r w:rsidR="00A1230B" w:rsidRPr="00543E41">
        <w:rPr>
          <w:color w:val="000000"/>
        </w:rPr>
        <w:t>коррекци</w:t>
      </w:r>
      <w:r w:rsidR="003745FA" w:rsidRPr="00543E41">
        <w:rPr>
          <w:color w:val="000000"/>
        </w:rPr>
        <w:t>и</w:t>
      </w:r>
      <w:r w:rsidR="00A1230B" w:rsidRPr="00543E41">
        <w:rPr>
          <w:color w:val="000000"/>
        </w:rPr>
        <w:t xml:space="preserve"> дозы не требуется.</w:t>
      </w:r>
      <w:r w:rsidR="00AC2EC7" w:rsidRPr="00543E41">
        <w:rPr>
          <w:color w:val="000000"/>
        </w:rPr>
        <w:t xml:space="preserve"> </w:t>
      </w:r>
      <w:r w:rsidRPr="00543E41">
        <w:rPr>
          <w:color w:val="000000"/>
        </w:rPr>
        <w:t>У</w:t>
      </w:r>
      <w:r w:rsidR="00C45745" w:rsidRPr="00543E41">
        <w:rPr>
          <w:color w:val="000000"/>
        </w:rPr>
        <w:t> </w:t>
      </w:r>
      <w:r w:rsidRPr="00543E41">
        <w:rPr>
          <w:color w:val="000000"/>
        </w:rPr>
        <w:t>пациентов с почечной недостаточностью</w:t>
      </w:r>
      <w:r w:rsidR="00EE544B" w:rsidRPr="00543E41">
        <w:rPr>
          <w:color w:val="000000"/>
        </w:rPr>
        <w:t xml:space="preserve"> </w:t>
      </w:r>
      <w:r w:rsidR="007C6091" w:rsidRPr="00543E41">
        <w:rPr>
          <w:color w:val="000000"/>
        </w:rPr>
        <w:t>средней степени</w:t>
      </w:r>
      <w:r w:rsidR="00543E41" w:rsidRPr="00543E41">
        <w:rPr>
          <w:color w:val="000000"/>
        </w:rPr>
        <w:t xml:space="preserve"> </w:t>
      </w:r>
      <w:r w:rsidRPr="00543E41">
        <w:rPr>
          <w:color w:val="000000"/>
        </w:rPr>
        <w:t>(</w:t>
      </w:r>
      <w:r w:rsidR="00A1230B" w:rsidRPr="00543E41">
        <w:rPr>
          <w:color w:val="000000"/>
        </w:rPr>
        <w:t xml:space="preserve">клиренс креатинина </w:t>
      </w:r>
      <w:r w:rsidR="00BC54EE">
        <w:rPr>
          <w:color w:val="000000"/>
        </w:rPr>
        <w:br/>
      </w:r>
      <w:r w:rsidR="00A1230B" w:rsidRPr="00543E41">
        <w:rPr>
          <w:color w:val="000000"/>
        </w:rPr>
        <w:t>30-49</w:t>
      </w:r>
      <w:r w:rsidR="00C45745" w:rsidRPr="00543E41">
        <w:rPr>
          <w:color w:val="000000"/>
        </w:rPr>
        <w:t> мл</w:t>
      </w:r>
      <w:r w:rsidR="00A1230B" w:rsidRPr="00543E41">
        <w:rPr>
          <w:color w:val="000000"/>
        </w:rPr>
        <w:t>/мин</w:t>
      </w:r>
      <w:r w:rsidRPr="00543E41">
        <w:rPr>
          <w:color w:val="000000"/>
        </w:rPr>
        <w:t>)</w:t>
      </w:r>
      <w:r w:rsidR="00A1230B" w:rsidRPr="00543E41">
        <w:rPr>
          <w:color w:val="000000"/>
        </w:rPr>
        <w:t xml:space="preserve"> </w:t>
      </w:r>
      <w:r w:rsidRPr="00543E41">
        <w:rPr>
          <w:color w:val="000000"/>
        </w:rPr>
        <w:t xml:space="preserve">рекомендуемая </w:t>
      </w:r>
      <w:r w:rsidR="00A1230B" w:rsidRPr="00543E41">
        <w:rPr>
          <w:color w:val="000000"/>
        </w:rPr>
        <w:t xml:space="preserve">суточная доза </w:t>
      </w:r>
      <w:r w:rsidRPr="00543E41">
        <w:rPr>
          <w:color w:val="000000"/>
        </w:rPr>
        <w:t>– 10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>. При хорошей переносимости этой дозы на протяжении 7 дней дозу можно увеличить до 20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>/сут в соответствии со стандартной схемой.</w:t>
      </w:r>
      <w:r w:rsidR="00CF0F70" w:rsidRPr="00543E41">
        <w:rPr>
          <w:color w:val="000000"/>
        </w:rPr>
        <w:t xml:space="preserve"> </w:t>
      </w:r>
      <w:r w:rsidRPr="00543E41">
        <w:rPr>
          <w:color w:val="000000"/>
        </w:rPr>
        <w:t xml:space="preserve">У пациентов с </w:t>
      </w:r>
      <w:r w:rsidR="00CF0F70" w:rsidRPr="00543E41">
        <w:rPr>
          <w:color w:val="000000"/>
        </w:rPr>
        <w:t>почечной недостаточност</w:t>
      </w:r>
      <w:r w:rsidRPr="00543E41">
        <w:rPr>
          <w:color w:val="000000"/>
        </w:rPr>
        <w:t>ью</w:t>
      </w:r>
      <w:r w:rsidR="00CF0F70" w:rsidRPr="00543E41">
        <w:rPr>
          <w:color w:val="000000"/>
        </w:rPr>
        <w:t xml:space="preserve"> </w:t>
      </w:r>
      <w:r w:rsidR="00AB51FB" w:rsidRPr="00AB51FB">
        <w:rPr>
          <w:color w:val="000000"/>
        </w:rPr>
        <w:t xml:space="preserve">тяжелой степени </w:t>
      </w:r>
      <w:r w:rsidR="00CF0F70" w:rsidRPr="00543E41">
        <w:rPr>
          <w:color w:val="000000"/>
        </w:rPr>
        <w:t>(клиренс креатинина 5-29</w:t>
      </w:r>
      <w:r w:rsidR="00C45745" w:rsidRPr="00543E41">
        <w:rPr>
          <w:color w:val="000000"/>
        </w:rPr>
        <w:t> мл</w:t>
      </w:r>
      <w:r w:rsidR="00CF0F70" w:rsidRPr="00543E41">
        <w:rPr>
          <w:color w:val="000000"/>
        </w:rPr>
        <w:t>/мин) суточная доза не до</w:t>
      </w:r>
      <w:r w:rsidR="00E90FF1" w:rsidRPr="00543E41">
        <w:rPr>
          <w:color w:val="000000"/>
        </w:rPr>
        <w:t>л</w:t>
      </w:r>
      <w:r w:rsidR="00CF0F70" w:rsidRPr="00543E41">
        <w:rPr>
          <w:color w:val="000000"/>
        </w:rPr>
        <w:t>жна превышать 10</w:t>
      </w:r>
      <w:r w:rsidR="00C45745" w:rsidRPr="00543E41">
        <w:rPr>
          <w:color w:val="000000"/>
        </w:rPr>
        <w:t> мг</w:t>
      </w:r>
      <w:r w:rsidR="00CF0F70" w:rsidRPr="00543E41">
        <w:rPr>
          <w:color w:val="000000"/>
        </w:rPr>
        <w:t>.</w:t>
      </w:r>
    </w:p>
    <w:p w14:paraId="056B04D5" w14:textId="77777777" w:rsidR="001E036E" w:rsidRPr="00543E41" w:rsidRDefault="001E036E" w:rsidP="00A91FDF">
      <w:pPr>
        <w:keepNext/>
        <w:widowControl w:val="0"/>
        <w:jc w:val="both"/>
        <w:rPr>
          <w:i/>
          <w:color w:val="000000"/>
        </w:rPr>
      </w:pPr>
      <w:r w:rsidRPr="00543E41">
        <w:rPr>
          <w:i/>
          <w:color w:val="000000"/>
        </w:rPr>
        <w:t>Пациенты с нарушением функции печени</w:t>
      </w:r>
    </w:p>
    <w:p w14:paraId="75A51925" w14:textId="1A3B8ED1" w:rsidR="00CF0F70" w:rsidRPr="00543E41" w:rsidRDefault="00CF0F70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У пациентов с </w:t>
      </w:r>
      <w:r w:rsidR="003745FA" w:rsidRPr="00543E41">
        <w:rPr>
          <w:color w:val="000000"/>
        </w:rPr>
        <w:t>нарушением функции п</w:t>
      </w:r>
      <w:r w:rsidRPr="00543E41">
        <w:rPr>
          <w:color w:val="000000"/>
        </w:rPr>
        <w:t xml:space="preserve">ечени </w:t>
      </w:r>
      <w:r w:rsidR="00EE544B" w:rsidRPr="00543E41">
        <w:rPr>
          <w:color w:val="000000"/>
        </w:rPr>
        <w:t xml:space="preserve">легкой и средней степени </w:t>
      </w:r>
      <w:r w:rsidRPr="00543E41">
        <w:rPr>
          <w:color w:val="000000"/>
        </w:rPr>
        <w:t>(класс А и В по классификации Чайлд-Пью) коррекци</w:t>
      </w:r>
      <w:r w:rsidR="00BD1C11" w:rsidRPr="00543E41">
        <w:rPr>
          <w:color w:val="000000"/>
        </w:rPr>
        <w:t>и</w:t>
      </w:r>
      <w:r w:rsidRPr="00543E41">
        <w:rPr>
          <w:color w:val="000000"/>
        </w:rPr>
        <w:t xml:space="preserve"> </w:t>
      </w:r>
      <w:r w:rsidR="00BD1C11" w:rsidRPr="00543E41">
        <w:rPr>
          <w:color w:val="000000"/>
        </w:rPr>
        <w:t>дозы</w:t>
      </w:r>
      <w:r w:rsidRPr="00543E41">
        <w:rPr>
          <w:color w:val="000000"/>
        </w:rPr>
        <w:t xml:space="preserve"> не требуется. </w:t>
      </w:r>
      <w:r w:rsidR="00487DE1">
        <w:rPr>
          <w:color w:val="000000"/>
        </w:rPr>
        <w:t xml:space="preserve">Данные о применении мемантина у пациентов с тяжелой печеночной недостаточностью отсутствуют. </w:t>
      </w:r>
      <w:r w:rsidR="007338DC" w:rsidRPr="00543E41">
        <w:rPr>
          <w:color w:val="000000"/>
        </w:rPr>
        <w:t xml:space="preserve">Пациентам с печеночной недостаточностью </w:t>
      </w:r>
      <w:r w:rsidR="00EE544B" w:rsidRPr="00543E41">
        <w:rPr>
          <w:color w:val="000000"/>
        </w:rPr>
        <w:t xml:space="preserve">тяжелой степени </w:t>
      </w:r>
      <w:r w:rsidR="007338DC" w:rsidRPr="00543E41">
        <w:rPr>
          <w:color w:val="000000"/>
        </w:rPr>
        <w:t>применение препарата противопоказано.</w:t>
      </w:r>
    </w:p>
    <w:p w14:paraId="59C2A25E" w14:textId="77777777" w:rsidR="002C0F5D" w:rsidRPr="00543E41" w:rsidRDefault="002C0F5D" w:rsidP="00A91FDF">
      <w:pPr>
        <w:pStyle w:val="a4"/>
        <w:widowControl w:val="0"/>
        <w:spacing w:before="0" w:beforeAutospacing="0" w:after="0" w:afterAutospacing="0"/>
        <w:jc w:val="both"/>
        <w:rPr>
          <w:b/>
          <w:bCs/>
        </w:rPr>
      </w:pPr>
    </w:p>
    <w:p w14:paraId="1ADBC8CB" w14:textId="77777777" w:rsidR="007A46D5" w:rsidRPr="00543E41" w:rsidRDefault="007A46D5" w:rsidP="00A91FDF">
      <w:pPr>
        <w:pStyle w:val="a4"/>
        <w:keepNext/>
        <w:widowControl w:val="0"/>
        <w:spacing w:before="0" w:beforeAutospacing="0" w:after="0" w:afterAutospacing="0"/>
        <w:jc w:val="both"/>
      </w:pPr>
      <w:r w:rsidRPr="00543E41">
        <w:rPr>
          <w:b/>
          <w:bCs/>
        </w:rPr>
        <w:t>Побочное действие</w:t>
      </w:r>
    </w:p>
    <w:p w14:paraId="52B3D2DE" w14:textId="77777777" w:rsidR="00143B96" w:rsidRDefault="007E1350" w:rsidP="007E2D91">
      <w:pPr>
        <w:widowControl w:val="0"/>
        <w:jc w:val="both"/>
      </w:pPr>
      <w:r w:rsidRPr="00543E41">
        <w:t>Классификация частоты развития побочных эффектов согласно рекомендациям Всемирной организации здравоохранения (ВОЗ):</w:t>
      </w:r>
    </w:p>
    <w:p w14:paraId="641A4F8C" w14:textId="0CEBF21C" w:rsidR="007E2D91" w:rsidRDefault="007E2D91" w:rsidP="007E2D91">
      <w:pPr>
        <w:widowControl w:val="0"/>
        <w:jc w:val="both"/>
      </w:pPr>
      <w:r>
        <w:t>очень часто</w:t>
      </w:r>
      <w:r w:rsidR="004D340E">
        <w:tab/>
      </w:r>
      <w:r>
        <w:t>≥ 1/10;</w:t>
      </w:r>
    </w:p>
    <w:p w14:paraId="606A914A" w14:textId="4B5A978D" w:rsidR="007E2D91" w:rsidRDefault="007E2D91" w:rsidP="007E2D91">
      <w:pPr>
        <w:widowControl w:val="0"/>
        <w:jc w:val="both"/>
      </w:pPr>
      <w:r>
        <w:t>часто</w:t>
      </w:r>
      <w:r w:rsidR="004D340E">
        <w:tab/>
      </w:r>
      <w:r w:rsidR="004D340E">
        <w:tab/>
      </w:r>
      <w:r>
        <w:t>от ≥ 1/100 до &lt; 1/10;</w:t>
      </w:r>
    </w:p>
    <w:p w14:paraId="73549F25" w14:textId="06714161" w:rsidR="007E2D91" w:rsidRDefault="007E2D91" w:rsidP="007E2D91">
      <w:pPr>
        <w:widowControl w:val="0"/>
        <w:jc w:val="both"/>
      </w:pPr>
      <w:r>
        <w:t>нечасто</w:t>
      </w:r>
      <w:r w:rsidR="004D340E">
        <w:tab/>
      </w:r>
      <w:r>
        <w:t>от ≥ 1/1000 до &lt; 1/100;</w:t>
      </w:r>
    </w:p>
    <w:p w14:paraId="106A316D" w14:textId="643CEFAD" w:rsidR="007E2D91" w:rsidRDefault="007E2D91" w:rsidP="007E2D91">
      <w:pPr>
        <w:widowControl w:val="0"/>
        <w:jc w:val="both"/>
      </w:pPr>
      <w:r>
        <w:t>редко</w:t>
      </w:r>
      <w:r w:rsidR="004D340E">
        <w:tab/>
      </w:r>
      <w:r w:rsidR="004D340E">
        <w:tab/>
      </w:r>
      <w:r>
        <w:t>от ≥ 1/10000 до &lt; 1/1000;</w:t>
      </w:r>
    </w:p>
    <w:p w14:paraId="6B81FE87" w14:textId="77777777" w:rsidR="004D340E" w:rsidRDefault="007E2D91" w:rsidP="00A91FDF">
      <w:pPr>
        <w:widowControl w:val="0"/>
        <w:jc w:val="both"/>
      </w:pPr>
      <w:r>
        <w:t>очень редко</w:t>
      </w:r>
      <w:r w:rsidR="004D340E">
        <w:tab/>
      </w:r>
      <w:r>
        <w:t>&lt; 1/10000, включая отдельные сообщения;</w:t>
      </w:r>
      <w:r w:rsidR="002224AE">
        <w:t xml:space="preserve"> </w:t>
      </w:r>
    </w:p>
    <w:p w14:paraId="3DBF2AF6" w14:textId="52FDBE7F" w:rsidR="007E1350" w:rsidRDefault="007E1350" w:rsidP="00A91FDF">
      <w:pPr>
        <w:widowControl w:val="0"/>
        <w:jc w:val="both"/>
      </w:pPr>
      <w:r w:rsidRPr="00543E41">
        <w:t>частота неизвестна – по имеющимся данным установить частоту возникновения не представляется возможным.</w:t>
      </w:r>
    </w:p>
    <w:p w14:paraId="7AA23E78" w14:textId="77777777" w:rsidR="007576B4" w:rsidRPr="00543E41" w:rsidRDefault="007576B4" w:rsidP="007576B4">
      <w:pPr>
        <w:pStyle w:val="a"/>
        <w:widowControl w:val="0"/>
        <w:numPr>
          <w:ilvl w:val="0"/>
          <w:numId w:val="0"/>
        </w:numPr>
        <w:spacing w:after="0" w:line="240" w:lineRule="auto"/>
      </w:pPr>
      <w:r w:rsidRPr="00C53860">
        <w:rPr>
          <w:i/>
        </w:rPr>
        <w:t>Инфекции и инвазии:</w:t>
      </w:r>
    </w:p>
    <w:p w14:paraId="3D438B8A" w14:textId="53FE8E3A" w:rsidR="007576B4" w:rsidRDefault="007576B4" w:rsidP="007576B4">
      <w:pPr>
        <w:pStyle w:val="a"/>
        <w:widowControl w:val="0"/>
        <w:numPr>
          <w:ilvl w:val="0"/>
          <w:numId w:val="0"/>
        </w:numPr>
        <w:spacing w:after="0" w:line="240" w:lineRule="auto"/>
        <w:rPr>
          <w:szCs w:val="24"/>
        </w:rPr>
      </w:pPr>
      <w:r>
        <w:rPr>
          <w:szCs w:val="24"/>
        </w:rPr>
        <w:t>нечасто</w:t>
      </w:r>
      <w:r w:rsidRPr="00543E41">
        <w:rPr>
          <w:szCs w:val="24"/>
        </w:rPr>
        <w:t xml:space="preserve"> </w:t>
      </w:r>
      <w:r w:rsidRPr="00543E41">
        <w:rPr>
          <w:szCs w:val="24"/>
        </w:rPr>
        <w:sym w:font="Symbol" w:char="F02D"/>
      </w:r>
      <w:r w:rsidR="00F14711">
        <w:rPr>
          <w:szCs w:val="24"/>
        </w:rPr>
        <w:t xml:space="preserve"> грибковые инфекции.</w:t>
      </w:r>
    </w:p>
    <w:p w14:paraId="5BC4D8F0" w14:textId="77777777" w:rsidR="00F14711" w:rsidRPr="00543E41" w:rsidRDefault="00F14711" w:rsidP="00F14711">
      <w:pPr>
        <w:pStyle w:val="a"/>
        <w:keepNext/>
        <w:widowControl w:val="0"/>
        <w:numPr>
          <w:ilvl w:val="0"/>
          <w:numId w:val="0"/>
        </w:numPr>
        <w:spacing w:after="0" w:line="240" w:lineRule="auto"/>
        <w:rPr>
          <w:i/>
          <w:szCs w:val="24"/>
        </w:rPr>
      </w:pPr>
      <w:r>
        <w:rPr>
          <w:i/>
          <w:iCs/>
          <w:szCs w:val="24"/>
        </w:rPr>
        <w:t>Нарушения со стороны иммунной системы</w:t>
      </w:r>
      <w:r w:rsidRPr="00143B96">
        <w:rPr>
          <w:i/>
          <w:szCs w:val="24"/>
        </w:rPr>
        <w:t>:</w:t>
      </w:r>
    </w:p>
    <w:p w14:paraId="29C365BA" w14:textId="352D98CB" w:rsidR="00F14711" w:rsidRPr="00543E41" w:rsidRDefault="00F14711" w:rsidP="00F14711">
      <w:pPr>
        <w:widowControl w:val="0"/>
        <w:jc w:val="both"/>
      </w:pPr>
      <w:r w:rsidRPr="00543E41">
        <w:t xml:space="preserve">часто </w:t>
      </w:r>
      <w:r w:rsidRPr="00543E41">
        <w:sym w:font="Symbol" w:char="F02D"/>
      </w:r>
      <w:r w:rsidRPr="00543E41">
        <w:t xml:space="preserve"> гиперчувствительность к</w:t>
      </w:r>
      <w:r w:rsidR="0053258C">
        <w:t xml:space="preserve"> </w:t>
      </w:r>
      <w:r w:rsidR="009E091C">
        <w:t>препарату</w:t>
      </w:r>
      <w:r>
        <w:t>.</w:t>
      </w:r>
    </w:p>
    <w:p w14:paraId="33FC0248" w14:textId="77777777" w:rsidR="008713E9" w:rsidRPr="00C53860" w:rsidRDefault="008713E9" w:rsidP="008713E9">
      <w:pPr>
        <w:widowControl w:val="0"/>
        <w:jc w:val="both"/>
        <w:rPr>
          <w:i/>
          <w:color w:val="000000"/>
        </w:rPr>
      </w:pPr>
      <w:r w:rsidRPr="00C53860">
        <w:rPr>
          <w:i/>
          <w:color w:val="000000"/>
        </w:rPr>
        <w:t>Психические расстройства:</w:t>
      </w:r>
    </w:p>
    <w:p w14:paraId="2BB18315" w14:textId="25255931" w:rsidR="00F14711" w:rsidRPr="00543E41" w:rsidRDefault="008713E9" w:rsidP="007576B4">
      <w:pPr>
        <w:pStyle w:val="a"/>
        <w:widowControl w:val="0"/>
        <w:numPr>
          <w:ilvl w:val="0"/>
          <w:numId w:val="0"/>
        </w:numPr>
        <w:spacing w:after="0" w:line="240" w:lineRule="auto"/>
        <w:rPr>
          <w:szCs w:val="24"/>
        </w:rPr>
      </w:pPr>
      <w:r>
        <w:rPr>
          <w:szCs w:val="24"/>
        </w:rPr>
        <w:t xml:space="preserve">часто – сонливость, </w:t>
      </w:r>
    </w:p>
    <w:p w14:paraId="3906B7CE" w14:textId="3AE45FC2" w:rsidR="007576B4" w:rsidRDefault="008713E9" w:rsidP="00A91FDF">
      <w:pPr>
        <w:widowControl w:val="0"/>
        <w:jc w:val="both"/>
      </w:pPr>
      <w:r w:rsidRPr="008713E9">
        <w:t>нечасто</w:t>
      </w:r>
      <w:r>
        <w:t xml:space="preserve"> – </w:t>
      </w:r>
      <w:r w:rsidRPr="008713E9">
        <w:t>спутанность сознания</w:t>
      </w:r>
      <w:r>
        <w:t xml:space="preserve">, </w:t>
      </w:r>
      <w:r w:rsidRPr="00543E41">
        <w:t>галлюцинации</w:t>
      </w:r>
      <w:r>
        <w:rPr>
          <w:vertAlign w:val="superscript"/>
        </w:rPr>
        <w:t>1</w:t>
      </w:r>
      <w:r>
        <w:t>;</w:t>
      </w:r>
    </w:p>
    <w:p w14:paraId="397CCAE1" w14:textId="19536647" w:rsidR="008713E9" w:rsidRPr="008713E9" w:rsidRDefault="008713E9" w:rsidP="00A91FDF">
      <w:pPr>
        <w:widowControl w:val="0"/>
        <w:jc w:val="both"/>
      </w:pPr>
      <w:r w:rsidRPr="00543E41">
        <w:rPr>
          <w:color w:val="000000"/>
        </w:rPr>
        <w:t>частота неизвестна – психотические реакции</w:t>
      </w:r>
      <w:r>
        <w:rPr>
          <w:color w:val="000000"/>
        </w:rPr>
        <w:t>.</w:t>
      </w:r>
    </w:p>
    <w:p w14:paraId="69E0020C" w14:textId="2F876DF6" w:rsidR="00E90FF1" w:rsidRPr="00543E41" w:rsidRDefault="00F07BFB" w:rsidP="00A91FDF">
      <w:pPr>
        <w:pStyle w:val="a"/>
        <w:keepNext/>
        <w:widowControl w:val="0"/>
        <w:numPr>
          <w:ilvl w:val="0"/>
          <w:numId w:val="0"/>
        </w:numPr>
        <w:spacing w:after="0" w:line="240" w:lineRule="auto"/>
        <w:rPr>
          <w:i/>
          <w:szCs w:val="24"/>
        </w:rPr>
      </w:pPr>
      <w:r>
        <w:rPr>
          <w:i/>
          <w:iCs/>
          <w:szCs w:val="24"/>
        </w:rPr>
        <w:t>Нарушения с</w:t>
      </w:r>
      <w:r w:rsidR="00E90FF1" w:rsidRPr="00543E41">
        <w:rPr>
          <w:i/>
          <w:iCs/>
          <w:szCs w:val="24"/>
        </w:rPr>
        <w:t>о стороны нервной системы</w:t>
      </w:r>
      <w:r w:rsidR="00E90FF1" w:rsidRPr="00143B96">
        <w:rPr>
          <w:i/>
          <w:szCs w:val="24"/>
        </w:rPr>
        <w:t>:</w:t>
      </w:r>
    </w:p>
    <w:p w14:paraId="51BB68AA" w14:textId="1F1F85E6" w:rsidR="00E90FF1" w:rsidRDefault="00E90FF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часто</w:t>
      </w:r>
      <w:r w:rsidRPr="00543E41">
        <w:rPr>
          <w:i/>
          <w:color w:val="000000"/>
        </w:rPr>
        <w:t xml:space="preserve"> </w:t>
      </w:r>
      <w:r w:rsidRPr="00543E41">
        <w:rPr>
          <w:color w:val="000000"/>
        </w:rPr>
        <w:sym w:font="Symbol" w:char="F02D"/>
      </w:r>
      <w:r w:rsidRPr="00543E41">
        <w:rPr>
          <w:color w:val="000000"/>
        </w:rPr>
        <w:t xml:space="preserve"> </w:t>
      </w:r>
      <w:r w:rsidR="00DF52A7" w:rsidRPr="00543E41">
        <w:t>нарушение равновесия</w:t>
      </w:r>
      <w:r w:rsidR="00702EE8">
        <w:t xml:space="preserve">, </w:t>
      </w:r>
      <w:r w:rsidR="00702EE8" w:rsidRPr="00543E41">
        <w:rPr>
          <w:color w:val="000000"/>
        </w:rPr>
        <w:t>головокружение</w:t>
      </w:r>
      <w:r w:rsidRPr="00543E41">
        <w:rPr>
          <w:color w:val="000000"/>
        </w:rPr>
        <w:t>;</w:t>
      </w:r>
    </w:p>
    <w:p w14:paraId="156B396D" w14:textId="46B7119E" w:rsidR="006972A0" w:rsidRDefault="006972A0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нечасто </w:t>
      </w:r>
      <w:r w:rsidRPr="00543E41">
        <w:rPr>
          <w:color w:val="000000"/>
        </w:rPr>
        <w:sym w:font="Symbol" w:char="F02D"/>
      </w:r>
      <w:r w:rsidRPr="00543E41">
        <w:rPr>
          <w:color w:val="000000"/>
        </w:rPr>
        <w:t xml:space="preserve"> нарушение походки</w:t>
      </w:r>
      <w:r>
        <w:rPr>
          <w:color w:val="000000"/>
        </w:rPr>
        <w:t>;</w:t>
      </w:r>
    </w:p>
    <w:p w14:paraId="5C0B3126" w14:textId="77777777" w:rsidR="006972A0" w:rsidRDefault="006972A0" w:rsidP="006972A0">
      <w:pPr>
        <w:widowControl w:val="0"/>
        <w:jc w:val="both"/>
        <w:rPr>
          <w:color w:val="000000"/>
        </w:rPr>
      </w:pPr>
      <w:r w:rsidRPr="00543E41">
        <w:rPr>
          <w:color w:val="000000"/>
        </w:rPr>
        <w:lastRenderedPageBreak/>
        <w:t xml:space="preserve">очень редко </w:t>
      </w:r>
      <w:r w:rsidRPr="00543E41">
        <w:rPr>
          <w:color w:val="000000"/>
        </w:rPr>
        <w:sym w:font="Symbol" w:char="F02D"/>
      </w:r>
      <w:r w:rsidRPr="00543E41">
        <w:rPr>
          <w:color w:val="000000"/>
        </w:rPr>
        <w:t xml:space="preserve"> судороги</w:t>
      </w:r>
      <w:r>
        <w:rPr>
          <w:color w:val="000000"/>
        </w:rPr>
        <w:t>.</w:t>
      </w:r>
    </w:p>
    <w:p w14:paraId="0B47B243" w14:textId="77777777" w:rsidR="00D14C57" w:rsidRDefault="00D14C57" w:rsidP="00D14C57">
      <w:pPr>
        <w:widowControl w:val="0"/>
        <w:jc w:val="both"/>
        <w:rPr>
          <w:i/>
          <w:color w:val="000000"/>
        </w:rPr>
      </w:pPr>
      <w:r w:rsidRPr="00C53860">
        <w:rPr>
          <w:i/>
          <w:color w:val="000000"/>
        </w:rPr>
        <w:t>Нарушения со стороны сердца:</w:t>
      </w:r>
      <w:r>
        <w:rPr>
          <w:i/>
          <w:color w:val="000000"/>
        </w:rPr>
        <w:t xml:space="preserve"> </w:t>
      </w:r>
    </w:p>
    <w:p w14:paraId="1B9C133E" w14:textId="67DD3035" w:rsidR="00D14C57" w:rsidRPr="00543E41" w:rsidRDefault="00D14C57" w:rsidP="00A91FDF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 xml:space="preserve">нечасто </w:t>
      </w:r>
      <w:r w:rsidR="004F642F">
        <w:rPr>
          <w:color w:val="000000"/>
        </w:rPr>
        <w:t>–</w:t>
      </w:r>
      <w:r w:rsidRPr="001921B6">
        <w:rPr>
          <w:color w:val="000000"/>
        </w:rPr>
        <w:t xml:space="preserve"> сердечная недостаточность.</w:t>
      </w:r>
    </w:p>
    <w:p w14:paraId="12E16E09" w14:textId="61ACC3DF" w:rsidR="00E90FF1" w:rsidRPr="00543E41" w:rsidRDefault="00F07BFB" w:rsidP="00A91FDF">
      <w:pPr>
        <w:pStyle w:val="a"/>
        <w:keepNext/>
        <w:widowControl w:val="0"/>
        <w:numPr>
          <w:ilvl w:val="0"/>
          <w:numId w:val="0"/>
        </w:numPr>
        <w:spacing w:after="0" w:line="240" w:lineRule="auto"/>
        <w:rPr>
          <w:i/>
          <w:szCs w:val="24"/>
        </w:rPr>
      </w:pPr>
      <w:r>
        <w:rPr>
          <w:i/>
          <w:iCs/>
          <w:szCs w:val="24"/>
        </w:rPr>
        <w:t>Нарушения с</w:t>
      </w:r>
      <w:r w:rsidR="00E90FF1" w:rsidRPr="00543E41">
        <w:rPr>
          <w:i/>
          <w:iCs/>
          <w:szCs w:val="24"/>
        </w:rPr>
        <w:t xml:space="preserve">о стороны </w:t>
      </w:r>
      <w:r>
        <w:rPr>
          <w:i/>
          <w:iCs/>
          <w:szCs w:val="24"/>
        </w:rPr>
        <w:t>сосудов</w:t>
      </w:r>
      <w:r w:rsidR="00E90FF1" w:rsidRPr="00143B96">
        <w:rPr>
          <w:i/>
          <w:szCs w:val="24"/>
        </w:rPr>
        <w:t>:</w:t>
      </w:r>
    </w:p>
    <w:p w14:paraId="6D4700A5" w14:textId="77777777" w:rsidR="00E90FF1" w:rsidRPr="00543E41" w:rsidRDefault="00E90FF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часто – </w:t>
      </w:r>
      <w:r w:rsidR="009F0F59" w:rsidRPr="00543E41">
        <w:rPr>
          <w:color w:val="000000"/>
        </w:rPr>
        <w:t xml:space="preserve">повышение </w:t>
      </w:r>
      <w:r w:rsidR="00DF52A7" w:rsidRPr="00543E41">
        <w:rPr>
          <w:color w:val="000000"/>
        </w:rPr>
        <w:t>артериальн</w:t>
      </w:r>
      <w:r w:rsidR="009F0F59" w:rsidRPr="00543E41">
        <w:rPr>
          <w:color w:val="000000"/>
        </w:rPr>
        <w:t>ого давления</w:t>
      </w:r>
      <w:r w:rsidRPr="00543E41">
        <w:rPr>
          <w:color w:val="000000"/>
        </w:rPr>
        <w:t>;</w:t>
      </w:r>
    </w:p>
    <w:p w14:paraId="57F0AEAE" w14:textId="159E98E2" w:rsidR="00E90FF1" w:rsidRDefault="00E90FF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нечасто – венозный тромбоз/тромбоэмболия</w:t>
      </w:r>
      <w:r w:rsidR="00F07BFB">
        <w:rPr>
          <w:color w:val="000000"/>
        </w:rPr>
        <w:t>.</w:t>
      </w:r>
    </w:p>
    <w:p w14:paraId="52A98E14" w14:textId="77777777" w:rsidR="004818D8" w:rsidRPr="00543E41" w:rsidRDefault="004818D8" w:rsidP="004818D8">
      <w:pPr>
        <w:keepNext/>
        <w:widowControl w:val="0"/>
        <w:jc w:val="both"/>
        <w:rPr>
          <w:i/>
          <w:color w:val="000000"/>
        </w:rPr>
      </w:pPr>
      <w:r>
        <w:rPr>
          <w:i/>
          <w:color w:val="000000"/>
        </w:rPr>
        <w:t>Нарушения с</w:t>
      </w:r>
      <w:r w:rsidRPr="00543E41">
        <w:rPr>
          <w:i/>
          <w:color w:val="000000"/>
        </w:rPr>
        <w:t>о стороны дыхательной системы</w:t>
      </w:r>
      <w:r>
        <w:rPr>
          <w:i/>
          <w:color w:val="000000"/>
        </w:rPr>
        <w:t>, органов грудной клетки и средостения</w:t>
      </w:r>
      <w:r w:rsidRPr="00143B96">
        <w:rPr>
          <w:i/>
          <w:color w:val="000000"/>
        </w:rPr>
        <w:t>:</w:t>
      </w:r>
    </w:p>
    <w:p w14:paraId="33D35789" w14:textId="77777777" w:rsidR="008724FA" w:rsidRDefault="004818D8" w:rsidP="00A91FDF">
      <w:pPr>
        <w:pStyle w:val="a"/>
        <w:keepNext/>
        <w:widowControl w:val="0"/>
        <w:numPr>
          <w:ilvl w:val="0"/>
          <w:numId w:val="0"/>
        </w:numPr>
        <w:spacing w:after="0" w:line="240" w:lineRule="auto"/>
      </w:pPr>
      <w:r w:rsidRPr="00543E41">
        <w:t>часто</w:t>
      </w:r>
      <w:r w:rsidRPr="00543E41">
        <w:rPr>
          <w:i/>
        </w:rPr>
        <w:t xml:space="preserve"> </w:t>
      </w:r>
      <w:r w:rsidRPr="00543E41">
        <w:sym w:font="Symbol" w:char="F02D"/>
      </w:r>
      <w:r w:rsidRPr="00543E41">
        <w:t xml:space="preserve"> одышка.</w:t>
      </w:r>
    </w:p>
    <w:p w14:paraId="2BBDAB15" w14:textId="4B9118A2" w:rsidR="00DF52A7" w:rsidRPr="00143B96" w:rsidRDefault="00102DC0" w:rsidP="00A91FDF">
      <w:pPr>
        <w:pStyle w:val="a"/>
        <w:keepNext/>
        <w:widowControl w:val="0"/>
        <w:numPr>
          <w:ilvl w:val="0"/>
          <w:numId w:val="0"/>
        </w:numPr>
        <w:spacing w:after="0" w:line="240" w:lineRule="auto"/>
        <w:rPr>
          <w:i/>
          <w:color w:val="auto"/>
          <w:szCs w:val="24"/>
        </w:rPr>
      </w:pPr>
      <w:r>
        <w:rPr>
          <w:i/>
          <w:iCs/>
          <w:color w:val="auto"/>
        </w:rPr>
        <w:t>Нарушения со стороны желудочно-кишечного тракта:</w:t>
      </w:r>
      <w:r w:rsidR="00DF52A7" w:rsidRPr="00915B5D">
        <w:rPr>
          <w:i/>
          <w:color w:val="auto"/>
          <w:szCs w:val="24"/>
        </w:rPr>
        <w:t>:</w:t>
      </w:r>
    </w:p>
    <w:p w14:paraId="265912DB" w14:textId="77777777" w:rsidR="00DF52A7" w:rsidRPr="00543E41" w:rsidRDefault="00DF52A7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часто</w:t>
      </w:r>
      <w:r w:rsidRPr="00543E41">
        <w:rPr>
          <w:i/>
          <w:color w:val="000000"/>
        </w:rPr>
        <w:t xml:space="preserve"> </w:t>
      </w:r>
      <w:r w:rsidRPr="00543E41">
        <w:rPr>
          <w:color w:val="000000"/>
        </w:rPr>
        <w:sym w:font="Symbol" w:char="F02D"/>
      </w:r>
      <w:r w:rsidRPr="00543E41">
        <w:rPr>
          <w:color w:val="000000"/>
        </w:rPr>
        <w:t xml:space="preserve"> запор;</w:t>
      </w:r>
    </w:p>
    <w:p w14:paraId="42352750" w14:textId="5D417D81" w:rsidR="00DF52A7" w:rsidRPr="00543E41" w:rsidRDefault="00DF52A7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нечасто </w:t>
      </w:r>
      <w:r w:rsidRPr="00543E41">
        <w:rPr>
          <w:color w:val="000000"/>
        </w:rPr>
        <w:sym w:font="Symbol" w:char="F02D"/>
      </w:r>
      <w:r w:rsidRPr="00543E41">
        <w:rPr>
          <w:color w:val="000000"/>
        </w:rPr>
        <w:t xml:space="preserve"> рвота</w:t>
      </w:r>
      <w:r w:rsidR="00102DC0">
        <w:rPr>
          <w:color w:val="000000"/>
        </w:rPr>
        <w:t>, тошнота</w:t>
      </w:r>
      <w:r w:rsidRPr="00543E41">
        <w:rPr>
          <w:color w:val="000000"/>
        </w:rPr>
        <w:t>;</w:t>
      </w:r>
    </w:p>
    <w:p w14:paraId="0C31F40B" w14:textId="14C9279F" w:rsidR="00DF52A7" w:rsidRDefault="009F0F59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частота неизвестна </w:t>
      </w:r>
      <w:r w:rsidR="00DF52A7" w:rsidRPr="00543E41">
        <w:rPr>
          <w:color w:val="000000"/>
        </w:rPr>
        <w:t>– панкреатит</w:t>
      </w:r>
      <w:r w:rsidR="00F327B5">
        <w:rPr>
          <w:color w:val="000000"/>
          <w:vertAlign w:val="superscript"/>
        </w:rPr>
        <w:t>2</w:t>
      </w:r>
      <w:r w:rsidR="00F72A28">
        <w:rPr>
          <w:color w:val="000000"/>
        </w:rPr>
        <w:t>.</w:t>
      </w:r>
    </w:p>
    <w:p w14:paraId="60F1DA05" w14:textId="3012EDE0" w:rsidR="00F72A28" w:rsidRDefault="00F72A28" w:rsidP="00A91FDF">
      <w:pPr>
        <w:widowControl w:val="0"/>
        <w:jc w:val="both"/>
        <w:rPr>
          <w:i/>
          <w:color w:val="000000"/>
        </w:rPr>
      </w:pPr>
      <w:r w:rsidRPr="00CF138F">
        <w:rPr>
          <w:i/>
          <w:color w:val="000000"/>
        </w:rPr>
        <w:t>Нарушения со стороны печени и желчевыводящих путей:</w:t>
      </w:r>
    </w:p>
    <w:p w14:paraId="613C857C" w14:textId="7695E91C" w:rsidR="00F72A28" w:rsidRDefault="002F364A" w:rsidP="00A91FDF">
      <w:pPr>
        <w:widowControl w:val="0"/>
        <w:jc w:val="both"/>
        <w:rPr>
          <w:color w:val="000000"/>
        </w:rPr>
      </w:pPr>
      <w:r>
        <w:rPr>
          <w:color w:val="000000"/>
        </w:rPr>
        <w:t>ч</w:t>
      </w:r>
      <w:r w:rsidR="00F72A28" w:rsidRPr="00CF138F">
        <w:rPr>
          <w:color w:val="000000"/>
        </w:rPr>
        <w:t>асто</w:t>
      </w:r>
      <w:r>
        <w:rPr>
          <w:color w:val="000000"/>
        </w:rPr>
        <w:t xml:space="preserve"> – </w:t>
      </w:r>
      <w:r w:rsidRPr="002F364A">
        <w:rPr>
          <w:color w:val="000000"/>
        </w:rPr>
        <w:t>повышение биохимических показателей функции печени.</w:t>
      </w:r>
    </w:p>
    <w:p w14:paraId="5632500A" w14:textId="77777777" w:rsidR="003D099D" w:rsidRDefault="003D099D" w:rsidP="003D099D">
      <w:pPr>
        <w:keepNext/>
        <w:widowControl w:val="0"/>
        <w:jc w:val="both"/>
        <w:rPr>
          <w:color w:val="000000"/>
        </w:rPr>
      </w:pPr>
      <w:r>
        <w:rPr>
          <w:i/>
          <w:color w:val="000000"/>
        </w:rPr>
        <w:t>Общие нарушения и реакции в месте введения</w:t>
      </w:r>
      <w:r w:rsidRPr="00143B96">
        <w:rPr>
          <w:i/>
          <w:color w:val="000000"/>
        </w:rPr>
        <w:t>:</w:t>
      </w:r>
    </w:p>
    <w:p w14:paraId="76E8BA6B" w14:textId="77777777" w:rsidR="003D099D" w:rsidRPr="003D099D" w:rsidRDefault="003D099D" w:rsidP="003D099D">
      <w:pPr>
        <w:widowControl w:val="0"/>
        <w:jc w:val="both"/>
      </w:pPr>
      <w:r w:rsidRPr="003D099D">
        <w:t>часто – головная боль;</w:t>
      </w:r>
    </w:p>
    <w:p w14:paraId="633560B4" w14:textId="77777777" w:rsidR="003D099D" w:rsidRDefault="003D099D" w:rsidP="003D099D">
      <w:pPr>
        <w:pStyle w:val="a"/>
        <w:widowControl w:val="0"/>
        <w:numPr>
          <w:ilvl w:val="0"/>
          <w:numId w:val="0"/>
        </w:numPr>
        <w:spacing w:after="0" w:line="240" w:lineRule="auto"/>
      </w:pPr>
      <w:r w:rsidRPr="00543E41">
        <w:t>нечасто – повышенная утомляемость</w:t>
      </w:r>
      <w:r>
        <w:t>.</w:t>
      </w:r>
    </w:p>
    <w:p w14:paraId="4F105712" w14:textId="77777777" w:rsidR="00165CF2" w:rsidRDefault="00165CF2" w:rsidP="003D099D">
      <w:pPr>
        <w:pStyle w:val="a"/>
        <w:widowControl w:val="0"/>
        <w:numPr>
          <w:ilvl w:val="0"/>
          <w:numId w:val="0"/>
        </w:numPr>
        <w:spacing w:after="0" w:line="240" w:lineRule="auto"/>
      </w:pPr>
    </w:p>
    <w:p w14:paraId="179724DB" w14:textId="6298FCCA" w:rsidR="00165CF2" w:rsidRDefault="00165CF2" w:rsidP="00165CF2">
      <w:pPr>
        <w:widowControl w:val="0"/>
        <w:jc w:val="both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>Галлюцинации наблюдались</w:t>
      </w:r>
      <w:r w:rsidR="004A0D81">
        <w:rPr>
          <w:color w:val="000000"/>
        </w:rPr>
        <w:t>,</w:t>
      </w:r>
      <w:r>
        <w:rPr>
          <w:color w:val="000000"/>
        </w:rPr>
        <w:t xml:space="preserve"> главным образом</w:t>
      </w:r>
      <w:r w:rsidR="004A0D81">
        <w:rPr>
          <w:color w:val="000000"/>
        </w:rPr>
        <w:t>,</w:t>
      </w:r>
      <w:r>
        <w:rPr>
          <w:color w:val="000000"/>
        </w:rPr>
        <w:t xml:space="preserve"> у пациентов с </w:t>
      </w:r>
      <w:r w:rsidR="004A0D81">
        <w:rPr>
          <w:color w:val="000000"/>
        </w:rPr>
        <w:t>тяжелой степенью болезни</w:t>
      </w:r>
      <w:r>
        <w:rPr>
          <w:color w:val="000000"/>
        </w:rPr>
        <w:t xml:space="preserve"> Альцгеймера</w:t>
      </w:r>
      <w:r w:rsidR="00622BA0">
        <w:rPr>
          <w:color w:val="000000"/>
        </w:rPr>
        <w:t>.</w:t>
      </w:r>
      <w:r>
        <w:rPr>
          <w:color w:val="000000"/>
        </w:rPr>
        <w:t xml:space="preserve"> </w:t>
      </w:r>
    </w:p>
    <w:p w14:paraId="1C6DA5C6" w14:textId="1AA63A56" w:rsidR="00165CF2" w:rsidRDefault="00165CF2" w:rsidP="00165CF2">
      <w:pPr>
        <w:widowControl w:val="0"/>
        <w:jc w:val="both"/>
      </w:pPr>
      <w:r>
        <w:rPr>
          <w:color w:val="000000"/>
          <w:vertAlign w:val="superscript"/>
        </w:rPr>
        <w:t>2</w:t>
      </w:r>
      <w:r w:rsidR="00184946">
        <w:rPr>
          <w:color w:val="000000"/>
        </w:rPr>
        <w:t xml:space="preserve"> </w:t>
      </w:r>
      <w:r>
        <w:t>В пострегистрационном периоде получены отдельные сообщения.</w:t>
      </w:r>
    </w:p>
    <w:p w14:paraId="3113E43C" w14:textId="77777777" w:rsidR="007B1E5E" w:rsidRPr="00C53860" w:rsidRDefault="007B1E5E" w:rsidP="00165CF2">
      <w:pPr>
        <w:widowControl w:val="0"/>
        <w:jc w:val="both"/>
      </w:pPr>
    </w:p>
    <w:p w14:paraId="357D69F5" w14:textId="77777777" w:rsidR="00165CF2" w:rsidRPr="001921B6" w:rsidRDefault="00165CF2" w:rsidP="00165CF2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>При болезни Альцгеймера могут возникать депрессия, суицидальные мысли и попытки.</w:t>
      </w:r>
    </w:p>
    <w:p w14:paraId="2756AB5B" w14:textId="77777777" w:rsidR="00165CF2" w:rsidRPr="001921B6" w:rsidRDefault="00165CF2" w:rsidP="00165CF2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>В рамках пострегистрационного применения такие явл</w:t>
      </w:r>
      <w:r>
        <w:rPr>
          <w:color w:val="000000"/>
        </w:rPr>
        <w:t>ения возникали у пациентов, при</w:t>
      </w:r>
      <w:r w:rsidRPr="001921B6">
        <w:rPr>
          <w:color w:val="000000"/>
        </w:rPr>
        <w:t xml:space="preserve">нимавших мемантин. </w:t>
      </w:r>
    </w:p>
    <w:p w14:paraId="42F8833F" w14:textId="77777777" w:rsidR="00165CF2" w:rsidRPr="001921B6" w:rsidRDefault="00165CF2" w:rsidP="00165CF2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>Имеются</w:t>
      </w:r>
      <w:r>
        <w:rPr>
          <w:color w:val="000000"/>
        </w:rPr>
        <w:t xml:space="preserve"> отдельные сообщения о возникно</w:t>
      </w:r>
      <w:r w:rsidRPr="001921B6">
        <w:rPr>
          <w:color w:val="000000"/>
        </w:rPr>
        <w:t>вении следующих побочных реакций при применен</w:t>
      </w:r>
      <w:r>
        <w:rPr>
          <w:color w:val="000000"/>
        </w:rPr>
        <w:t>ии мемантина в клинической прак</w:t>
      </w:r>
      <w:r w:rsidRPr="001921B6">
        <w:rPr>
          <w:color w:val="000000"/>
        </w:rPr>
        <w:t xml:space="preserve">тике (данные, полученные после появления мемантина в продаже), частота развития не указана: </w:t>
      </w:r>
    </w:p>
    <w:p w14:paraId="52CFE2C6" w14:textId="572CCC71" w:rsidR="00165CF2" w:rsidRPr="001921B6" w:rsidRDefault="00165CF2" w:rsidP="00165CF2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>-</w:t>
      </w:r>
      <w:r w:rsidR="00143B96">
        <w:t> </w:t>
      </w:r>
      <w:r w:rsidRPr="00CF138F">
        <w:rPr>
          <w:i/>
          <w:color w:val="000000"/>
        </w:rPr>
        <w:t>нарушения со стороны крови и лимфатической системы:</w:t>
      </w:r>
      <w:r w:rsidRPr="001921B6">
        <w:rPr>
          <w:color w:val="000000"/>
        </w:rPr>
        <w:t xml:space="preserve"> агранулоцитоз, лейкопения (включая нейтропе</w:t>
      </w:r>
      <w:r>
        <w:rPr>
          <w:color w:val="000000"/>
        </w:rPr>
        <w:t>нию), панцитопе</w:t>
      </w:r>
      <w:r w:rsidRPr="001921B6">
        <w:rPr>
          <w:color w:val="000000"/>
        </w:rPr>
        <w:t xml:space="preserve">ния, </w:t>
      </w:r>
      <w:r>
        <w:rPr>
          <w:color w:val="000000"/>
        </w:rPr>
        <w:t>тромбоцитопения, тромбоцитопени</w:t>
      </w:r>
      <w:r w:rsidRPr="001921B6">
        <w:rPr>
          <w:color w:val="000000"/>
        </w:rPr>
        <w:t>ческая пурпура;</w:t>
      </w:r>
    </w:p>
    <w:p w14:paraId="0C3BAC6F" w14:textId="5B3BD416" w:rsidR="00165CF2" w:rsidRPr="001921B6" w:rsidRDefault="00165CF2" w:rsidP="00165CF2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>-</w:t>
      </w:r>
      <w:r w:rsidR="00143B96">
        <w:rPr>
          <w:color w:val="000000"/>
        </w:rPr>
        <w:t> </w:t>
      </w:r>
      <w:r w:rsidRPr="00CF138F">
        <w:rPr>
          <w:i/>
          <w:color w:val="000000"/>
        </w:rPr>
        <w:t>нарушения со стороны иммунной системы:</w:t>
      </w:r>
      <w:r w:rsidRPr="001921B6">
        <w:rPr>
          <w:color w:val="000000"/>
        </w:rPr>
        <w:t xml:space="preserve"> синдром Стивенса-Джонсона;</w:t>
      </w:r>
    </w:p>
    <w:p w14:paraId="1C97BBC8" w14:textId="33FCDED1" w:rsidR="00A85F9F" w:rsidRDefault="00165CF2" w:rsidP="00A91FDF">
      <w:pPr>
        <w:widowControl w:val="0"/>
        <w:jc w:val="both"/>
        <w:rPr>
          <w:color w:val="000000"/>
        </w:rPr>
      </w:pPr>
      <w:r w:rsidRPr="001921B6">
        <w:rPr>
          <w:color w:val="000000"/>
        </w:rPr>
        <w:t>-</w:t>
      </w:r>
      <w:r w:rsidR="00143B96">
        <w:rPr>
          <w:color w:val="000000"/>
        </w:rPr>
        <w:t> </w:t>
      </w:r>
      <w:r w:rsidRPr="00CF138F">
        <w:rPr>
          <w:i/>
          <w:color w:val="000000"/>
        </w:rPr>
        <w:t>нарушения со стороны почек и мочевыводящих путей:</w:t>
      </w:r>
      <w:r>
        <w:rPr>
          <w:color w:val="000000"/>
        </w:rPr>
        <w:t xml:space="preserve"> острая почечная недоста</w:t>
      </w:r>
      <w:r w:rsidRPr="001921B6">
        <w:rPr>
          <w:color w:val="000000"/>
        </w:rPr>
        <w:t>точность.</w:t>
      </w:r>
    </w:p>
    <w:p w14:paraId="2226C7FF" w14:textId="77777777" w:rsidR="00622BA0" w:rsidRPr="00543E41" w:rsidRDefault="00622BA0" w:rsidP="00A91FDF">
      <w:pPr>
        <w:widowControl w:val="0"/>
        <w:jc w:val="both"/>
        <w:rPr>
          <w:color w:val="000000"/>
        </w:rPr>
      </w:pPr>
    </w:p>
    <w:p w14:paraId="229F0B59" w14:textId="77777777" w:rsidR="008446CA" w:rsidRPr="00543E41" w:rsidRDefault="007A46D5" w:rsidP="00A91FDF">
      <w:pPr>
        <w:keepNext/>
        <w:widowControl w:val="0"/>
        <w:tabs>
          <w:tab w:val="left" w:pos="8655"/>
        </w:tabs>
        <w:jc w:val="both"/>
        <w:rPr>
          <w:b/>
        </w:rPr>
      </w:pPr>
      <w:bookmarkStart w:id="1" w:name="09"/>
      <w:bookmarkEnd w:id="1"/>
      <w:r w:rsidRPr="00543E41">
        <w:rPr>
          <w:b/>
        </w:rPr>
        <w:t>Передозировка</w:t>
      </w:r>
    </w:p>
    <w:p w14:paraId="4A8316E5" w14:textId="77777777" w:rsidR="008446CA" w:rsidRPr="00543E41" w:rsidRDefault="008446CA" w:rsidP="00A91FDF">
      <w:pPr>
        <w:widowControl w:val="0"/>
        <w:tabs>
          <w:tab w:val="left" w:pos="8655"/>
        </w:tabs>
        <w:jc w:val="both"/>
      </w:pPr>
      <w:r w:rsidRPr="00543E41">
        <w:t>Имеются ограниченные данные по передозировке, полученные в ходе клинических исследований и пострегистрационного наблюдения.</w:t>
      </w:r>
    </w:p>
    <w:p w14:paraId="2212268F" w14:textId="77777777" w:rsidR="006C56C8" w:rsidRPr="00543E41" w:rsidRDefault="009A6900" w:rsidP="00A91FDF">
      <w:pPr>
        <w:keepNext/>
        <w:widowControl w:val="0"/>
        <w:jc w:val="both"/>
        <w:rPr>
          <w:color w:val="000000"/>
        </w:rPr>
      </w:pPr>
      <w:r w:rsidRPr="00543E41">
        <w:rPr>
          <w:i/>
          <w:iCs/>
          <w:color w:val="000000"/>
        </w:rPr>
        <w:t>Симптомы</w:t>
      </w:r>
      <w:r w:rsidRPr="00543E41">
        <w:rPr>
          <w:color w:val="000000"/>
        </w:rPr>
        <w:t xml:space="preserve"> </w:t>
      </w:r>
    </w:p>
    <w:p w14:paraId="2D5E0DD9" w14:textId="77777777" w:rsidR="008446CA" w:rsidRPr="00543E41" w:rsidRDefault="00543E4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Передозировка при приеме относительно больших доз мемантина</w:t>
      </w:r>
      <w:r w:rsidRPr="00543E41" w:rsidDel="00543E41">
        <w:rPr>
          <w:color w:val="000000"/>
        </w:rPr>
        <w:t xml:space="preserve"> </w:t>
      </w:r>
      <w:r w:rsidR="008446CA" w:rsidRPr="00543E41">
        <w:rPr>
          <w:color w:val="000000"/>
        </w:rPr>
        <w:t>(200</w:t>
      </w:r>
      <w:r w:rsidR="00C45745" w:rsidRPr="00543E41">
        <w:rPr>
          <w:color w:val="000000"/>
        </w:rPr>
        <w:t> мг</w:t>
      </w:r>
      <w:r w:rsidR="008446CA" w:rsidRPr="00543E41">
        <w:rPr>
          <w:color w:val="000000"/>
        </w:rPr>
        <w:t xml:space="preserve"> однократно</w:t>
      </w:r>
      <w:r w:rsidR="00A91FDF" w:rsidRPr="00543E41">
        <w:rPr>
          <w:color w:val="000000"/>
        </w:rPr>
        <w:t>,</w:t>
      </w:r>
      <w:r w:rsidR="008446CA" w:rsidRPr="00543E41">
        <w:rPr>
          <w:color w:val="000000"/>
        </w:rPr>
        <w:t xml:space="preserve"> или 105</w:t>
      </w:r>
      <w:r w:rsidR="00C45745" w:rsidRPr="00543E41">
        <w:rPr>
          <w:color w:val="000000"/>
        </w:rPr>
        <w:t> мг</w:t>
      </w:r>
      <w:r w:rsidR="008446CA" w:rsidRPr="00543E41">
        <w:rPr>
          <w:color w:val="000000"/>
        </w:rPr>
        <w:t xml:space="preserve"> в сутки в течение 3</w:t>
      </w:r>
      <w:r w:rsidR="00DA1AE3" w:rsidRPr="00543E41">
        <w:rPr>
          <w:color w:val="000000"/>
        </w:rPr>
        <w:t> </w:t>
      </w:r>
      <w:r w:rsidR="008446CA" w:rsidRPr="00543E41">
        <w:rPr>
          <w:color w:val="000000"/>
        </w:rPr>
        <w:t xml:space="preserve">дней) </w:t>
      </w:r>
      <w:r w:rsidR="00341ADA" w:rsidRPr="00543E41">
        <w:rPr>
          <w:color w:val="000000"/>
        </w:rPr>
        <w:t>выража</w:t>
      </w:r>
      <w:r w:rsidRPr="00543E41">
        <w:rPr>
          <w:color w:val="000000"/>
        </w:rPr>
        <w:t>е</w:t>
      </w:r>
      <w:r w:rsidR="00341ADA" w:rsidRPr="00543E41">
        <w:rPr>
          <w:color w:val="000000"/>
        </w:rPr>
        <w:t>тся симптомами</w:t>
      </w:r>
      <w:r w:rsidR="008446CA" w:rsidRPr="00543E41">
        <w:rPr>
          <w:color w:val="000000"/>
        </w:rPr>
        <w:t xml:space="preserve"> утомляемост</w:t>
      </w:r>
      <w:r w:rsidR="00341ADA" w:rsidRPr="00543E41">
        <w:rPr>
          <w:color w:val="000000"/>
        </w:rPr>
        <w:t>и</w:t>
      </w:r>
      <w:r w:rsidR="008446CA" w:rsidRPr="00543E41">
        <w:rPr>
          <w:color w:val="000000"/>
        </w:rPr>
        <w:t>, слабост</w:t>
      </w:r>
      <w:r w:rsidR="00341ADA" w:rsidRPr="00543E41">
        <w:rPr>
          <w:color w:val="000000"/>
        </w:rPr>
        <w:t>и и/или диареи</w:t>
      </w:r>
      <w:r w:rsidR="008446CA" w:rsidRPr="00543E41">
        <w:rPr>
          <w:color w:val="000000"/>
        </w:rPr>
        <w:t xml:space="preserve"> </w:t>
      </w:r>
      <w:r w:rsidR="00341ADA" w:rsidRPr="00543E41">
        <w:rPr>
          <w:color w:val="000000"/>
        </w:rPr>
        <w:t>или отсутствием симптомов</w:t>
      </w:r>
      <w:r w:rsidR="008446CA" w:rsidRPr="00543E41">
        <w:rPr>
          <w:color w:val="000000"/>
        </w:rPr>
        <w:t xml:space="preserve">. </w:t>
      </w:r>
      <w:r w:rsidR="00341ADA" w:rsidRPr="00543E41">
        <w:rPr>
          <w:color w:val="000000"/>
        </w:rPr>
        <w:t>П</w:t>
      </w:r>
      <w:r w:rsidR="008446CA" w:rsidRPr="00543E41">
        <w:rPr>
          <w:color w:val="000000"/>
        </w:rPr>
        <w:t>ередозировк</w:t>
      </w:r>
      <w:r w:rsidR="00341ADA" w:rsidRPr="00543E41">
        <w:rPr>
          <w:color w:val="000000"/>
        </w:rPr>
        <w:t xml:space="preserve">а </w:t>
      </w:r>
      <w:r w:rsidR="00A91FDF" w:rsidRPr="00543E41">
        <w:rPr>
          <w:color w:val="000000"/>
        </w:rPr>
        <w:t xml:space="preserve">при приеме </w:t>
      </w:r>
      <w:r w:rsidR="00341ADA" w:rsidRPr="00543E41">
        <w:rPr>
          <w:color w:val="000000"/>
        </w:rPr>
        <w:t xml:space="preserve">до </w:t>
      </w:r>
      <w:r w:rsidR="008446CA" w:rsidRPr="00543E41">
        <w:rPr>
          <w:color w:val="000000"/>
        </w:rPr>
        <w:t>140</w:t>
      </w:r>
      <w:r w:rsidR="00C45745" w:rsidRPr="00543E41">
        <w:rPr>
          <w:color w:val="000000"/>
        </w:rPr>
        <w:t> мг</w:t>
      </w:r>
      <w:r w:rsidR="00A91FDF" w:rsidRPr="00543E41">
        <w:rPr>
          <w:color w:val="000000"/>
        </w:rPr>
        <w:t xml:space="preserve"> мемантина</w:t>
      </w:r>
      <w:r w:rsidR="008446CA" w:rsidRPr="00543E41">
        <w:rPr>
          <w:color w:val="000000"/>
        </w:rPr>
        <w:t xml:space="preserve"> однократно или неизвестн</w:t>
      </w:r>
      <w:r w:rsidR="00A91FDF" w:rsidRPr="00543E41">
        <w:rPr>
          <w:color w:val="000000"/>
        </w:rPr>
        <w:t>ого</w:t>
      </w:r>
      <w:r w:rsidR="00341ADA" w:rsidRPr="00543E41">
        <w:rPr>
          <w:color w:val="000000"/>
        </w:rPr>
        <w:t xml:space="preserve"> количеств</w:t>
      </w:r>
      <w:r w:rsidR="00A91FDF" w:rsidRPr="00543E41">
        <w:rPr>
          <w:color w:val="000000"/>
        </w:rPr>
        <w:t>а</w:t>
      </w:r>
      <w:r w:rsidR="00341ADA" w:rsidRPr="00543E41">
        <w:rPr>
          <w:color w:val="000000"/>
        </w:rPr>
        <w:t xml:space="preserve"> </w:t>
      </w:r>
      <w:r w:rsidR="00C019B9" w:rsidRPr="00543E41">
        <w:rPr>
          <w:color w:val="000000"/>
        </w:rPr>
        <w:t>мемантина</w:t>
      </w:r>
      <w:r w:rsidR="008446CA" w:rsidRPr="00543E41">
        <w:rPr>
          <w:color w:val="000000"/>
        </w:rPr>
        <w:t xml:space="preserve"> </w:t>
      </w:r>
      <w:r w:rsidR="00341ADA" w:rsidRPr="00543E41">
        <w:rPr>
          <w:color w:val="000000"/>
        </w:rPr>
        <w:t>выражается с</w:t>
      </w:r>
      <w:r w:rsidR="008446CA" w:rsidRPr="00543E41">
        <w:rPr>
          <w:color w:val="000000"/>
        </w:rPr>
        <w:t>имптом</w:t>
      </w:r>
      <w:r w:rsidR="00341ADA" w:rsidRPr="00543E41">
        <w:rPr>
          <w:color w:val="000000"/>
        </w:rPr>
        <w:t>ами, связанными с центральной нервной системой (</w:t>
      </w:r>
      <w:r w:rsidR="008446CA" w:rsidRPr="00543E41">
        <w:rPr>
          <w:color w:val="000000"/>
        </w:rPr>
        <w:t xml:space="preserve">спутанность сознания, </w:t>
      </w:r>
      <w:r w:rsidR="00341ADA" w:rsidRPr="00543E41">
        <w:rPr>
          <w:color w:val="000000"/>
        </w:rPr>
        <w:t>сонливость, головокружение, вертиго, беспокойство, возбуждение, галлюцинации</w:t>
      </w:r>
      <w:r w:rsidR="00C019B9" w:rsidRPr="00543E41">
        <w:rPr>
          <w:color w:val="000000"/>
        </w:rPr>
        <w:t>,</w:t>
      </w:r>
      <w:r w:rsidR="008446CA" w:rsidRPr="00543E41">
        <w:rPr>
          <w:color w:val="000000"/>
        </w:rPr>
        <w:t xml:space="preserve"> нарушение походки</w:t>
      </w:r>
      <w:r w:rsidR="00341ADA" w:rsidRPr="00543E41">
        <w:rPr>
          <w:color w:val="000000"/>
        </w:rPr>
        <w:t>) и/или желудочно-кишечными нарушениями (</w:t>
      </w:r>
      <w:r w:rsidR="008446CA" w:rsidRPr="00543E41">
        <w:rPr>
          <w:color w:val="000000"/>
        </w:rPr>
        <w:t>рвота</w:t>
      </w:r>
      <w:r w:rsidR="00C019B9" w:rsidRPr="00543E41">
        <w:rPr>
          <w:color w:val="000000"/>
        </w:rPr>
        <w:t>,</w:t>
      </w:r>
      <w:r w:rsidR="008446CA" w:rsidRPr="00543E41">
        <w:rPr>
          <w:color w:val="000000"/>
        </w:rPr>
        <w:t xml:space="preserve"> диарея</w:t>
      </w:r>
      <w:r w:rsidR="00341ADA" w:rsidRPr="00543E41">
        <w:rPr>
          <w:color w:val="000000"/>
        </w:rPr>
        <w:t>)</w:t>
      </w:r>
      <w:r w:rsidR="008446CA" w:rsidRPr="00543E41">
        <w:rPr>
          <w:color w:val="000000"/>
        </w:rPr>
        <w:t>.</w:t>
      </w:r>
    </w:p>
    <w:p w14:paraId="0C4605C4" w14:textId="77777777" w:rsidR="00341ADA" w:rsidRPr="00543E41" w:rsidRDefault="00341ADA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В наиболее серьезных случаях передозировки пациент выживал после приема более чем 2000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 xml:space="preserve"> мемантина с нежелательными явлениями со стороны нервной системы (кома в</w:t>
      </w:r>
      <w:r w:rsidR="00C45745" w:rsidRPr="00543E41">
        <w:rPr>
          <w:color w:val="000000"/>
        </w:rPr>
        <w:t> </w:t>
      </w:r>
      <w:r w:rsidRPr="00543E41">
        <w:rPr>
          <w:color w:val="000000"/>
        </w:rPr>
        <w:t xml:space="preserve">течение 10 дней, позже </w:t>
      </w:r>
      <w:r w:rsidR="007A0191" w:rsidRPr="00543E41">
        <w:rPr>
          <w:color w:val="000000"/>
        </w:rPr>
        <w:t>диплопия, ажитация). Пациент получал симптоматическую терапию и плазм</w:t>
      </w:r>
      <w:r w:rsidR="001432B7" w:rsidRPr="00543E41">
        <w:rPr>
          <w:color w:val="000000"/>
        </w:rPr>
        <w:t>а</w:t>
      </w:r>
      <w:r w:rsidR="007A0191" w:rsidRPr="00543E41">
        <w:rPr>
          <w:color w:val="000000"/>
        </w:rPr>
        <w:t>ферез</w:t>
      </w:r>
      <w:r w:rsidR="00C019B9" w:rsidRPr="00543E41">
        <w:rPr>
          <w:color w:val="000000"/>
        </w:rPr>
        <w:t>,</w:t>
      </w:r>
      <w:r w:rsidR="007A0191" w:rsidRPr="00543E41">
        <w:rPr>
          <w:color w:val="000000"/>
        </w:rPr>
        <w:t xml:space="preserve"> и </w:t>
      </w:r>
      <w:r w:rsidR="00543E41" w:rsidRPr="00543E41">
        <w:rPr>
          <w:color w:val="000000"/>
        </w:rPr>
        <w:t>выздоровел без последствий</w:t>
      </w:r>
      <w:r w:rsidR="007A0191" w:rsidRPr="00543E41">
        <w:rPr>
          <w:color w:val="000000"/>
        </w:rPr>
        <w:t>.</w:t>
      </w:r>
    </w:p>
    <w:p w14:paraId="7557F210" w14:textId="77777777" w:rsidR="007A0191" w:rsidRPr="00543E41" w:rsidRDefault="007A019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Другой описанный случай серьезной передозировки – 400</w:t>
      </w:r>
      <w:r w:rsidR="00C45745" w:rsidRPr="00543E41">
        <w:rPr>
          <w:color w:val="000000"/>
        </w:rPr>
        <w:t> мг</w:t>
      </w:r>
      <w:r w:rsidRPr="00543E41">
        <w:rPr>
          <w:color w:val="000000"/>
        </w:rPr>
        <w:t xml:space="preserve"> </w:t>
      </w:r>
      <w:r w:rsidR="00A91FDF" w:rsidRPr="00543E41">
        <w:rPr>
          <w:color w:val="000000"/>
        </w:rPr>
        <w:t xml:space="preserve">мемантина </w:t>
      </w:r>
      <w:r w:rsidRPr="00543E41">
        <w:rPr>
          <w:color w:val="000000"/>
        </w:rPr>
        <w:t xml:space="preserve">однократно. Пациент выздоровел без последствий. Отмечались </w:t>
      </w:r>
      <w:r w:rsidR="00543E41" w:rsidRPr="00543E41">
        <w:rPr>
          <w:color w:val="000000"/>
        </w:rPr>
        <w:t>нежелательные явления</w:t>
      </w:r>
      <w:r w:rsidR="00543E41" w:rsidRPr="00543E41" w:rsidDel="00543E41">
        <w:rPr>
          <w:color w:val="000000"/>
        </w:rPr>
        <w:t xml:space="preserve"> </w:t>
      </w:r>
      <w:r w:rsidRPr="00543E41">
        <w:rPr>
          <w:color w:val="000000"/>
        </w:rPr>
        <w:t xml:space="preserve">со стороны нервной системы: беспокойство, психоз, зрительные галлюцинации, ступор, приступы </w:t>
      </w:r>
      <w:r w:rsidRPr="00543E41">
        <w:rPr>
          <w:color w:val="000000"/>
        </w:rPr>
        <w:lastRenderedPageBreak/>
        <w:t>судорог, сонливость, бессознательное состояние.</w:t>
      </w:r>
    </w:p>
    <w:p w14:paraId="49EE430D" w14:textId="77777777" w:rsidR="005667D0" w:rsidRPr="00543E41" w:rsidRDefault="009A6900" w:rsidP="00A91FDF">
      <w:pPr>
        <w:keepNext/>
        <w:widowControl w:val="0"/>
        <w:jc w:val="both"/>
        <w:rPr>
          <w:i/>
          <w:iCs/>
          <w:color w:val="000000"/>
        </w:rPr>
      </w:pPr>
      <w:r w:rsidRPr="00543E41">
        <w:rPr>
          <w:i/>
          <w:iCs/>
          <w:color w:val="000000"/>
        </w:rPr>
        <w:t>Лечение</w:t>
      </w:r>
    </w:p>
    <w:p w14:paraId="548F31A6" w14:textId="32DC3BCF" w:rsidR="007A0191" w:rsidRDefault="007A019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С</w:t>
      </w:r>
      <w:r w:rsidR="008446CA" w:rsidRPr="00543E41">
        <w:rPr>
          <w:color w:val="000000"/>
        </w:rPr>
        <w:t>имптоматическ</w:t>
      </w:r>
      <w:r w:rsidRPr="00543E41">
        <w:rPr>
          <w:color w:val="000000"/>
        </w:rPr>
        <w:t>ая</w:t>
      </w:r>
      <w:r w:rsidR="008446CA" w:rsidRPr="00543E41">
        <w:rPr>
          <w:color w:val="000000"/>
        </w:rPr>
        <w:t xml:space="preserve"> </w:t>
      </w:r>
      <w:r w:rsidRPr="00543E41">
        <w:rPr>
          <w:color w:val="000000"/>
        </w:rPr>
        <w:t>терапия</w:t>
      </w:r>
      <w:r w:rsidR="0005368E" w:rsidRPr="00543E41">
        <w:rPr>
          <w:color w:val="000000"/>
        </w:rPr>
        <w:t>,</w:t>
      </w:r>
      <w:r w:rsidRPr="00543E41">
        <w:rPr>
          <w:color w:val="000000"/>
        </w:rPr>
        <w:t xml:space="preserve"> промывание желудка, прием </w:t>
      </w:r>
      <w:r w:rsidR="00A91FDF" w:rsidRPr="00543E41">
        <w:rPr>
          <w:color w:val="000000"/>
        </w:rPr>
        <w:t>адсорбентов (</w:t>
      </w:r>
      <w:r w:rsidRPr="00543E41">
        <w:rPr>
          <w:color w:val="000000"/>
        </w:rPr>
        <w:t>активированного угля</w:t>
      </w:r>
      <w:r w:rsidR="00A91FDF" w:rsidRPr="00543E41">
        <w:rPr>
          <w:color w:val="000000"/>
        </w:rPr>
        <w:t>)</w:t>
      </w:r>
      <w:r w:rsidR="0005368E" w:rsidRPr="00543E41">
        <w:rPr>
          <w:color w:val="000000"/>
        </w:rPr>
        <w:t>,</w:t>
      </w:r>
      <w:r w:rsidRPr="00543E41">
        <w:rPr>
          <w:color w:val="000000"/>
        </w:rPr>
        <w:t xml:space="preserve"> подкисление мочи, форсированный диурез (при необходимости). </w:t>
      </w:r>
      <w:r w:rsidR="008446CA" w:rsidRPr="00543E41">
        <w:rPr>
          <w:color w:val="000000"/>
        </w:rPr>
        <w:t>Специфического антидота не</w:t>
      </w:r>
      <w:r w:rsidR="00A81751" w:rsidRPr="00543E41">
        <w:rPr>
          <w:color w:val="000000"/>
        </w:rPr>
        <w:t>т</w:t>
      </w:r>
      <w:r w:rsidRPr="00543E41">
        <w:rPr>
          <w:color w:val="000000"/>
        </w:rPr>
        <w:t>.</w:t>
      </w:r>
      <w:r w:rsidR="00A65F8A">
        <w:rPr>
          <w:color w:val="000000"/>
        </w:rPr>
        <w:t xml:space="preserve"> При необходимости проводят стандартные лечебные мероприятия, направленные на выведение из организма активного вещества, такие как промывание желудка, прием активированного угля (для предотвращения потенциальной рециркуляции в кишечнике и печени), подкисление мочи, форсированный диурез.</w:t>
      </w:r>
    </w:p>
    <w:p w14:paraId="45EF4E90" w14:textId="3A3C1456" w:rsidR="00DC1EA6" w:rsidRPr="00543E41" w:rsidRDefault="00DC1EA6" w:rsidP="00A91FDF">
      <w:pPr>
        <w:widowControl w:val="0"/>
        <w:jc w:val="both"/>
        <w:rPr>
          <w:color w:val="000000"/>
        </w:rPr>
      </w:pPr>
      <w:r>
        <w:rPr>
          <w:color w:val="000000"/>
        </w:rPr>
        <w:t>При появлении признаков и симптомов общей гиперстимуляции центральной нервной системы следует проводить симптоматическую терапию с осторожностью.</w:t>
      </w:r>
    </w:p>
    <w:p w14:paraId="147084AD" w14:textId="77777777" w:rsidR="007A46D5" w:rsidRPr="00543E41" w:rsidRDefault="007A46D5" w:rsidP="00A91FDF">
      <w:pPr>
        <w:widowControl w:val="0"/>
        <w:jc w:val="both"/>
      </w:pPr>
    </w:p>
    <w:p w14:paraId="3B9E8C62" w14:textId="77777777" w:rsidR="007A46D5" w:rsidRPr="00543E41" w:rsidRDefault="007A46D5" w:rsidP="00A91FDF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3E41">
        <w:rPr>
          <w:rFonts w:ascii="Times New Roman" w:hAnsi="Times New Roman" w:cs="Times New Roman"/>
          <w:sz w:val="24"/>
          <w:szCs w:val="24"/>
        </w:rPr>
        <w:t>Взаимодействие с другими лекарственными средствами</w:t>
      </w:r>
    </w:p>
    <w:p w14:paraId="4C7C5388" w14:textId="77777777" w:rsidR="00F1541B" w:rsidRPr="00543E41" w:rsidRDefault="009A6900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При одновременно</w:t>
      </w:r>
      <w:r w:rsidR="008C7658" w:rsidRPr="00543E41">
        <w:rPr>
          <w:color w:val="000000"/>
        </w:rPr>
        <w:t>м применении</w:t>
      </w:r>
      <w:r w:rsidRPr="00543E41">
        <w:rPr>
          <w:color w:val="000000"/>
        </w:rPr>
        <w:t xml:space="preserve"> </w:t>
      </w:r>
      <w:r w:rsidR="00A91FDF" w:rsidRPr="00543E41">
        <w:rPr>
          <w:color w:val="000000"/>
        </w:rPr>
        <w:t xml:space="preserve">мемантина </w:t>
      </w:r>
      <w:r w:rsidRPr="00543E41">
        <w:rPr>
          <w:color w:val="000000"/>
        </w:rPr>
        <w:t xml:space="preserve">с препаратами </w:t>
      </w:r>
      <w:r w:rsidR="00FA2196" w:rsidRPr="00543E41">
        <w:rPr>
          <w:color w:val="000000"/>
        </w:rPr>
        <w:t xml:space="preserve">леводопы, агонистами дофаминовых рецепторов, </w:t>
      </w:r>
      <w:r w:rsidR="0072005E" w:rsidRPr="00543E41">
        <w:rPr>
          <w:color w:val="000000"/>
        </w:rPr>
        <w:t>антихолинергическими средствами</w:t>
      </w:r>
      <w:r w:rsidR="00FA2196" w:rsidRPr="00543E41">
        <w:rPr>
          <w:color w:val="000000"/>
        </w:rPr>
        <w:t xml:space="preserve"> </w:t>
      </w:r>
      <w:r w:rsidR="00543E41" w:rsidRPr="00543E41">
        <w:rPr>
          <w:color w:val="000000"/>
        </w:rPr>
        <w:t>их действие</w:t>
      </w:r>
      <w:r w:rsidR="00543E41" w:rsidRPr="00543E41" w:rsidDel="00543E41">
        <w:rPr>
          <w:color w:val="000000"/>
        </w:rPr>
        <w:t xml:space="preserve"> </w:t>
      </w:r>
      <w:r w:rsidR="00FA2196" w:rsidRPr="00543E41">
        <w:rPr>
          <w:color w:val="000000"/>
        </w:rPr>
        <w:t xml:space="preserve">может усиливаться. </w:t>
      </w:r>
    </w:p>
    <w:p w14:paraId="589D70A1" w14:textId="77777777" w:rsidR="00F1541B" w:rsidRPr="00543E41" w:rsidRDefault="00FA2196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При одновременном применении </w:t>
      </w:r>
      <w:r w:rsidR="00A91FDF" w:rsidRPr="00543E41">
        <w:rPr>
          <w:color w:val="000000"/>
        </w:rPr>
        <w:t xml:space="preserve">мемантина </w:t>
      </w:r>
      <w:r w:rsidRPr="00543E41">
        <w:rPr>
          <w:color w:val="000000"/>
        </w:rPr>
        <w:t xml:space="preserve">с барбитуратами, нейролептиками </w:t>
      </w:r>
      <w:r w:rsidR="00543E41" w:rsidRPr="00543E41">
        <w:rPr>
          <w:color w:val="000000"/>
        </w:rPr>
        <w:t>их действие</w:t>
      </w:r>
      <w:r w:rsidRPr="00543E41">
        <w:rPr>
          <w:color w:val="000000"/>
        </w:rPr>
        <w:t xml:space="preserve"> может уменьшаться.</w:t>
      </w:r>
      <w:r w:rsidR="009A6900" w:rsidRPr="00543E41">
        <w:rPr>
          <w:color w:val="000000"/>
        </w:rPr>
        <w:t xml:space="preserve"> </w:t>
      </w:r>
    </w:p>
    <w:p w14:paraId="2AF6C3BB" w14:textId="77777777" w:rsidR="00F566E7" w:rsidRPr="00543E41" w:rsidRDefault="00FA2196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При </w:t>
      </w:r>
      <w:r w:rsidR="00F566E7" w:rsidRPr="00543E41">
        <w:rPr>
          <w:color w:val="000000"/>
        </w:rPr>
        <w:t xml:space="preserve">одновременном </w:t>
      </w:r>
      <w:r w:rsidRPr="00543E41">
        <w:rPr>
          <w:color w:val="000000"/>
        </w:rPr>
        <w:t xml:space="preserve">применении </w:t>
      </w:r>
      <w:r w:rsidR="00A91FDF" w:rsidRPr="00543E41">
        <w:rPr>
          <w:color w:val="000000"/>
        </w:rPr>
        <w:t xml:space="preserve">мемантина </w:t>
      </w:r>
      <w:r w:rsidR="00F566E7" w:rsidRPr="00543E41">
        <w:rPr>
          <w:color w:val="000000"/>
        </w:rPr>
        <w:t>с дантроленом или баклофеном, а также со</w:t>
      </w:r>
      <w:r w:rsidR="00C45745" w:rsidRPr="00543E41">
        <w:rPr>
          <w:color w:val="000000"/>
        </w:rPr>
        <w:t> </w:t>
      </w:r>
      <w:r w:rsidR="00F566E7" w:rsidRPr="00543E41">
        <w:rPr>
          <w:color w:val="000000"/>
        </w:rPr>
        <w:t xml:space="preserve">спазмолитиками </w:t>
      </w:r>
      <w:r w:rsidR="00A91FDF" w:rsidRPr="00543E41">
        <w:rPr>
          <w:color w:val="000000"/>
        </w:rPr>
        <w:t xml:space="preserve">их действие </w:t>
      </w:r>
      <w:r w:rsidR="00F566E7" w:rsidRPr="00543E41">
        <w:rPr>
          <w:color w:val="000000"/>
        </w:rPr>
        <w:t xml:space="preserve">может </w:t>
      </w:r>
      <w:r w:rsidRPr="00543E41">
        <w:rPr>
          <w:color w:val="000000"/>
        </w:rPr>
        <w:t>измен</w:t>
      </w:r>
      <w:r w:rsidR="00F566E7" w:rsidRPr="00543E41">
        <w:rPr>
          <w:color w:val="000000"/>
        </w:rPr>
        <w:t>я</w:t>
      </w:r>
      <w:r w:rsidRPr="00543E41">
        <w:rPr>
          <w:color w:val="000000"/>
        </w:rPr>
        <w:t>ть</w:t>
      </w:r>
      <w:r w:rsidR="00F566E7" w:rsidRPr="00543E41">
        <w:rPr>
          <w:color w:val="000000"/>
        </w:rPr>
        <w:t>ся</w:t>
      </w:r>
      <w:r w:rsidRPr="00543E41">
        <w:rPr>
          <w:color w:val="000000"/>
        </w:rPr>
        <w:t xml:space="preserve"> (усилить</w:t>
      </w:r>
      <w:r w:rsidR="00F566E7" w:rsidRPr="00543E41">
        <w:rPr>
          <w:color w:val="000000"/>
        </w:rPr>
        <w:t>ся</w:t>
      </w:r>
      <w:r w:rsidRPr="00543E41">
        <w:rPr>
          <w:color w:val="000000"/>
        </w:rPr>
        <w:t xml:space="preserve"> или уменьшить</w:t>
      </w:r>
      <w:r w:rsidR="00F566E7" w:rsidRPr="00543E41">
        <w:rPr>
          <w:color w:val="000000"/>
        </w:rPr>
        <w:t>ся</w:t>
      </w:r>
      <w:r w:rsidRPr="00543E41">
        <w:rPr>
          <w:color w:val="000000"/>
        </w:rPr>
        <w:t xml:space="preserve">), поэтому дозы </w:t>
      </w:r>
      <w:r w:rsidR="002B6F77" w:rsidRPr="00543E41">
        <w:rPr>
          <w:color w:val="000000"/>
        </w:rPr>
        <w:t>препаратов</w:t>
      </w:r>
      <w:r w:rsidRPr="00543E41">
        <w:rPr>
          <w:color w:val="000000"/>
        </w:rPr>
        <w:t xml:space="preserve"> следует подбирать индивидуально.</w:t>
      </w:r>
      <w:r w:rsidR="002B6F77" w:rsidRPr="00543E41">
        <w:rPr>
          <w:color w:val="000000"/>
        </w:rPr>
        <w:t xml:space="preserve"> </w:t>
      </w:r>
    </w:p>
    <w:p w14:paraId="57BF9E58" w14:textId="77777777" w:rsidR="00916D35" w:rsidRPr="00543E41" w:rsidRDefault="00F1541B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С</w:t>
      </w:r>
      <w:r w:rsidR="002B6F77" w:rsidRPr="00543E41">
        <w:rPr>
          <w:color w:val="000000"/>
        </w:rPr>
        <w:t xml:space="preserve">ледует избегать одновременного </w:t>
      </w:r>
      <w:r w:rsidR="0072005E" w:rsidRPr="00543E41">
        <w:rPr>
          <w:color w:val="000000"/>
        </w:rPr>
        <w:t>применения</w:t>
      </w:r>
      <w:r w:rsidR="002B6F77" w:rsidRPr="00543E41">
        <w:rPr>
          <w:color w:val="000000"/>
        </w:rPr>
        <w:t xml:space="preserve"> </w:t>
      </w:r>
      <w:r w:rsidR="00916D35" w:rsidRPr="00543E41">
        <w:rPr>
          <w:color w:val="000000"/>
        </w:rPr>
        <w:t>мемантина с</w:t>
      </w:r>
      <w:r w:rsidR="002B6F77" w:rsidRPr="00543E41">
        <w:rPr>
          <w:color w:val="000000"/>
        </w:rPr>
        <w:t xml:space="preserve"> амантадином</w:t>
      </w:r>
      <w:r w:rsidR="00916D35" w:rsidRPr="00543E41">
        <w:rPr>
          <w:color w:val="000000"/>
        </w:rPr>
        <w:t xml:space="preserve"> из-за риска </w:t>
      </w:r>
      <w:r w:rsidR="00F566E7" w:rsidRPr="00543E41">
        <w:rPr>
          <w:color w:val="000000"/>
        </w:rPr>
        <w:t>развития</w:t>
      </w:r>
      <w:r w:rsidR="00916D35" w:rsidRPr="00543E41">
        <w:rPr>
          <w:color w:val="000000"/>
        </w:rPr>
        <w:t xml:space="preserve"> психоза. Оба соединения являются </w:t>
      </w:r>
      <w:r w:rsidR="00F566E7" w:rsidRPr="00543E41">
        <w:rPr>
          <w:color w:val="000000"/>
        </w:rPr>
        <w:t xml:space="preserve">антагонистами </w:t>
      </w:r>
      <w:r w:rsidR="00F566E7" w:rsidRPr="00543E41">
        <w:rPr>
          <w:color w:val="000000"/>
          <w:lang w:val="en-US"/>
        </w:rPr>
        <w:t>NMDA</w:t>
      </w:r>
      <w:r w:rsidR="00F566E7" w:rsidRPr="00543E41">
        <w:rPr>
          <w:color w:val="000000"/>
        </w:rPr>
        <w:t>-рецепторов</w:t>
      </w:r>
      <w:r w:rsidR="00916D35" w:rsidRPr="00543E41">
        <w:rPr>
          <w:color w:val="000000"/>
        </w:rPr>
        <w:t xml:space="preserve">. </w:t>
      </w:r>
      <w:r w:rsidR="00A81751" w:rsidRPr="00543E41">
        <w:rPr>
          <w:color w:val="000000"/>
        </w:rPr>
        <w:t>Риск развития психоза также повышен при одновременном применении мемантина с</w:t>
      </w:r>
      <w:r w:rsidR="00C45745" w:rsidRPr="00543E41">
        <w:rPr>
          <w:color w:val="000000"/>
        </w:rPr>
        <w:t> </w:t>
      </w:r>
      <w:r w:rsidR="00A81751" w:rsidRPr="00543E41">
        <w:rPr>
          <w:color w:val="000000"/>
        </w:rPr>
        <w:t xml:space="preserve">фенитоином, </w:t>
      </w:r>
      <w:r w:rsidR="00916D35" w:rsidRPr="00543E41">
        <w:rPr>
          <w:color w:val="000000"/>
        </w:rPr>
        <w:t>кетамин</w:t>
      </w:r>
      <w:r w:rsidR="00A81751" w:rsidRPr="00543E41">
        <w:rPr>
          <w:color w:val="000000"/>
        </w:rPr>
        <w:t>ом</w:t>
      </w:r>
      <w:r w:rsidR="00916D35" w:rsidRPr="00543E41">
        <w:rPr>
          <w:color w:val="000000"/>
        </w:rPr>
        <w:t xml:space="preserve"> и декс</w:t>
      </w:r>
      <w:r w:rsidR="00A81751" w:rsidRPr="00543E41">
        <w:rPr>
          <w:color w:val="000000"/>
        </w:rPr>
        <w:t>тро</w:t>
      </w:r>
      <w:r w:rsidR="00916D35" w:rsidRPr="00543E41">
        <w:rPr>
          <w:color w:val="000000"/>
        </w:rPr>
        <w:t>мето</w:t>
      </w:r>
      <w:r w:rsidR="00A81751" w:rsidRPr="00543E41">
        <w:rPr>
          <w:color w:val="000000"/>
        </w:rPr>
        <w:t>р</w:t>
      </w:r>
      <w:r w:rsidR="00916D35" w:rsidRPr="00543E41">
        <w:rPr>
          <w:color w:val="000000"/>
        </w:rPr>
        <w:t>фан</w:t>
      </w:r>
      <w:r w:rsidR="00A81751" w:rsidRPr="00543E41">
        <w:rPr>
          <w:color w:val="000000"/>
        </w:rPr>
        <w:t>ом</w:t>
      </w:r>
      <w:r w:rsidR="00916D35" w:rsidRPr="00543E41">
        <w:rPr>
          <w:color w:val="000000"/>
        </w:rPr>
        <w:t>.</w:t>
      </w:r>
    </w:p>
    <w:p w14:paraId="6D2A85C2" w14:textId="77777777" w:rsidR="00916D35" w:rsidRPr="00543E41" w:rsidRDefault="00A81751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При одновременном применении </w:t>
      </w:r>
      <w:r w:rsidR="00A91FDF" w:rsidRPr="00543E41">
        <w:rPr>
          <w:color w:val="000000"/>
        </w:rPr>
        <w:t xml:space="preserve">мемантина </w:t>
      </w:r>
      <w:r w:rsidRPr="00543E41">
        <w:rPr>
          <w:color w:val="000000"/>
        </w:rPr>
        <w:t>с ц</w:t>
      </w:r>
      <w:r w:rsidR="00916D35" w:rsidRPr="00543E41">
        <w:rPr>
          <w:color w:val="000000"/>
        </w:rPr>
        <w:t>иметидин</w:t>
      </w:r>
      <w:r w:rsidRPr="00543E41">
        <w:rPr>
          <w:color w:val="000000"/>
        </w:rPr>
        <w:t>ом</w:t>
      </w:r>
      <w:r w:rsidR="00916D35" w:rsidRPr="00543E41">
        <w:rPr>
          <w:color w:val="000000"/>
        </w:rPr>
        <w:t>, ранитидин</w:t>
      </w:r>
      <w:r w:rsidRPr="00543E41">
        <w:rPr>
          <w:color w:val="000000"/>
        </w:rPr>
        <w:t>ом</w:t>
      </w:r>
      <w:r w:rsidR="00916D35" w:rsidRPr="00543E41">
        <w:rPr>
          <w:color w:val="000000"/>
        </w:rPr>
        <w:t>, прокаинамид</w:t>
      </w:r>
      <w:r w:rsidRPr="00543E41">
        <w:rPr>
          <w:color w:val="000000"/>
        </w:rPr>
        <w:t>ом</w:t>
      </w:r>
      <w:r w:rsidR="00916D35" w:rsidRPr="00543E41">
        <w:rPr>
          <w:color w:val="000000"/>
        </w:rPr>
        <w:t xml:space="preserve">, </w:t>
      </w:r>
      <w:r w:rsidRPr="00543E41">
        <w:rPr>
          <w:color w:val="000000"/>
        </w:rPr>
        <w:t>х</w:t>
      </w:r>
      <w:r w:rsidR="00916D35" w:rsidRPr="00543E41">
        <w:rPr>
          <w:color w:val="000000"/>
        </w:rPr>
        <w:t>инидин</w:t>
      </w:r>
      <w:r w:rsidRPr="00543E41">
        <w:rPr>
          <w:color w:val="000000"/>
        </w:rPr>
        <w:t>ом</w:t>
      </w:r>
      <w:r w:rsidR="00916D35" w:rsidRPr="00543E41">
        <w:rPr>
          <w:color w:val="000000"/>
        </w:rPr>
        <w:t xml:space="preserve">, </w:t>
      </w:r>
      <w:r w:rsidRPr="00543E41">
        <w:rPr>
          <w:color w:val="000000"/>
        </w:rPr>
        <w:t>х</w:t>
      </w:r>
      <w:r w:rsidR="00916D35" w:rsidRPr="00543E41">
        <w:rPr>
          <w:color w:val="000000"/>
        </w:rPr>
        <w:t>инин</w:t>
      </w:r>
      <w:r w:rsidRPr="00543E41">
        <w:rPr>
          <w:color w:val="000000"/>
        </w:rPr>
        <w:t>ом</w:t>
      </w:r>
      <w:r w:rsidR="00916D35" w:rsidRPr="00543E41">
        <w:rPr>
          <w:color w:val="000000"/>
        </w:rPr>
        <w:t xml:space="preserve"> и никотин</w:t>
      </w:r>
      <w:r w:rsidRPr="00543E41">
        <w:rPr>
          <w:color w:val="000000"/>
        </w:rPr>
        <w:t>ом</w:t>
      </w:r>
      <w:r w:rsidR="00916D35" w:rsidRPr="00543E41">
        <w:rPr>
          <w:color w:val="000000"/>
        </w:rPr>
        <w:t xml:space="preserve"> </w:t>
      </w:r>
      <w:r w:rsidR="00047467" w:rsidRPr="00543E41">
        <w:rPr>
          <w:color w:val="000000"/>
        </w:rPr>
        <w:t>увеличивается</w:t>
      </w:r>
      <w:r w:rsidR="00916D35" w:rsidRPr="00543E41">
        <w:rPr>
          <w:color w:val="000000"/>
        </w:rPr>
        <w:t xml:space="preserve"> риск </w:t>
      </w:r>
      <w:r w:rsidR="00047467" w:rsidRPr="00543E41">
        <w:rPr>
          <w:color w:val="000000"/>
        </w:rPr>
        <w:t>повышения концентрации мемантина</w:t>
      </w:r>
      <w:r w:rsidR="00916D35" w:rsidRPr="00543E41">
        <w:rPr>
          <w:color w:val="000000"/>
        </w:rPr>
        <w:t xml:space="preserve"> в плазме крови.</w:t>
      </w:r>
    </w:p>
    <w:p w14:paraId="135A63FB" w14:textId="77777777" w:rsidR="00047467" w:rsidRPr="00543E41" w:rsidRDefault="00047467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При одновременном </w:t>
      </w:r>
      <w:r w:rsidR="00A91FDF" w:rsidRPr="00543E41">
        <w:rPr>
          <w:color w:val="000000"/>
        </w:rPr>
        <w:t>применении</w:t>
      </w:r>
      <w:r w:rsidRPr="00543E41">
        <w:rPr>
          <w:color w:val="000000"/>
        </w:rPr>
        <w:t xml:space="preserve"> </w:t>
      </w:r>
      <w:r w:rsidR="00A91FDF" w:rsidRPr="00543E41">
        <w:rPr>
          <w:color w:val="000000"/>
        </w:rPr>
        <w:t xml:space="preserve">мемантина </w:t>
      </w:r>
      <w:r w:rsidRPr="00543E41">
        <w:rPr>
          <w:color w:val="000000"/>
        </w:rPr>
        <w:t>с гидрохлортиазидом возможно снижение концентрации гидрохлортиазида в плазме крови за счет увеличения его выведения из организма.</w:t>
      </w:r>
    </w:p>
    <w:p w14:paraId="0DBA5B72" w14:textId="77777777" w:rsidR="002B6F77" w:rsidRPr="00543E41" w:rsidRDefault="00047467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Возможно повышение</w:t>
      </w:r>
      <w:r w:rsidR="00916D35" w:rsidRPr="00543E41">
        <w:rPr>
          <w:color w:val="000000"/>
        </w:rPr>
        <w:t xml:space="preserve"> международного нормализованного отношения (МНО) у</w:t>
      </w:r>
      <w:r w:rsidR="00C45745" w:rsidRPr="00543E41">
        <w:rPr>
          <w:color w:val="000000"/>
        </w:rPr>
        <w:t> </w:t>
      </w:r>
      <w:r w:rsidR="00916D35" w:rsidRPr="00543E41">
        <w:rPr>
          <w:color w:val="000000"/>
        </w:rPr>
        <w:t xml:space="preserve">пациентов, </w:t>
      </w:r>
      <w:r w:rsidRPr="00543E41">
        <w:rPr>
          <w:color w:val="000000"/>
        </w:rPr>
        <w:t xml:space="preserve">принимающих </w:t>
      </w:r>
      <w:r w:rsidR="00916D35" w:rsidRPr="00543E41">
        <w:rPr>
          <w:color w:val="000000"/>
        </w:rPr>
        <w:t xml:space="preserve">одновременно </w:t>
      </w:r>
      <w:r w:rsidRPr="00543E41">
        <w:rPr>
          <w:color w:val="000000"/>
        </w:rPr>
        <w:t>пероральные непрямые антикоагулянты (</w:t>
      </w:r>
      <w:r w:rsidR="00916D35" w:rsidRPr="00543E41">
        <w:rPr>
          <w:color w:val="000000"/>
        </w:rPr>
        <w:t>варфарин</w:t>
      </w:r>
      <w:r w:rsidRPr="00543E41">
        <w:rPr>
          <w:color w:val="000000"/>
        </w:rPr>
        <w:t>)</w:t>
      </w:r>
      <w:r w:rsidR="00916D35" w:rsidRPr="00543E41">
        <w:rPr>
          <w:color w:val="000000"/>
        </w:rPr>
        <w:t xml:space="preserve">. </w:t>
      </w:r>
      <w:r w:rsidRPr="00543E41">
        <w:rPr>
          <w:color w:val="000000"/>
        </w:rPr>
        <w:t>Рекомендуется регулярно</w:t>
      </w:r>
      <w:r w:rsidR="00DF24B6" w:rsidRPr="00543E41">
        <w:rPr>
          <w:color w:val="000000"/>
        </w:rPr>
        <w:t xml:space="preserve"> проводить мониторинг протромбинового времени или МНО у пациентов, </w:t>
      </w:r>
      <w:r w:rsidRPr="00543E41">
        <w:rPr>
          <w:color w:val="000000"/>
        </w:rPr>
        <w:t xml:space="preserve">принимающих одновременно </w:t>
      </w:r>
      <w:r w:rsidR="00DF24B6" w:rsidRPr="00543E41">
        <w:rPr>
          <w:color w:val="000000"/>
        </w:rPr>
        <w:t>непрямы</w:t>
      </w:r>
      <w:r w:rsidRPr="00543E41">
        <w:rPr>
          <w:color w:val="000000"/>
        </w:rPr>
        <w:t>е</w:t>
      </w:r>
      <w:r w:rsidR="00DF24B6" w:rsidRPr="00543E41">
        <w:rPr>
          <w:color w:val="000000"/>
        </w:rPr>
        <w:t xml:space="preserve"> антикоагулянт</w:t>
      </w:r>
      <w:r w:rsidRPr="00543E41">
        <w:rPr>
          <w:color w:val="000000"/>
        </w:rPr>
        <w:t>ы</w:t>
      </w:r>
      <w:r w:rsidR="002B6F77" w:rsidRPr="00543E41">
        <w:rPr>
          <w:color w:val="000000"/>
        </w:rPr>
        <w:t>.</w:t>
      </w:r>
    </w:p>
    <w:p w14:paraId="4152CDED" w14:textId="77777777" w:rsidR="002B6F77" w:rsidRPr="00543E41" w:rsidRDefault="002B6F77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Одновременное применение </w:t>
      </w:r>
      <w:r w:rsidR="00A91FDF" w:rsidRPr="00543E41">
        <w:rPr>
          <w:color w:val="000000"/>
        </w:rPr>
        <w:t xml:space="preserve">мемантина </w:t>
      </w:r>
      <w:r w:rsidRPr="00543E41">
        <w:rPr>
          <w:color w:val="000000"/>
        </w:rPr>
        <w:t>с антидепрессантами, селективными ингибиторами обратного захвата серотонина и ингибиторами моноаминооксидазы требует тщательного наблюдения за пациентами.</w:t>
      </w:r>
    </w:p>
    <w:p w14:paraId="20B2C8B4" w14:textId="7D7C53F7" w:rsidR="00933275" w:rsidRPr="00543E41" w:rsidRDefault="00933275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По данным проведенных фармакокинетических исследований у молодых здоровых добровольцев при однократном одновременном</w:t>
      </w:r>
      <w:r w:rsidR="00AF0234" w:rsidRPr="00543E41">
        <w:rPr>
          <w:color w:val="000000"/>
        </w:rPr>
        <w:t xml:space="preserve"> приеме мемантина с глибенкламидом/ метформином или донепезилом эффектов лекарственного взаимодействия выявлено не</w:t>
      </w:r>
      <w:r w:rsidR="00C45745" w:rsidRPr="00543E41">
        <w:rPr>
          <w:color w:val="000000"/>
        </w:rPr>
        <w:t> </w:t>
      </w:r>
      <w:r w:rsidR="00AF0234" w:rsidRPr="00543E41">
        <w:rPr>
          <w:color w:val="000000"/>
        </w:rPr>
        <w:t>было.</w:t>
      </w:r>
    </w:p>
    <w:p w14:paraId="05CA5F6F" w14:textId="77777777" w:rsidR="00AF0234" w:rsidRPr="00543E41" w:rsidRDefault="00AF0234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>Проведенные клинические исследования также не выявили влияния мемантина на</w:t>
      </w:r>
      <w:r w:rsidR="00C45745" w:rsidRPr="00543E41">
        <w:rPr>
          <w:color w:val="000000"/>
        </w:rPr>
        <w:t> </w:t>
      </w:r>
      <w:r w:rsidRPr="00543E41">
        <w:rPr>
          <w:color w:val="000000"/>
        </w:rPr>
        <w:t>фармакокинетику галантамина у молодых здоровых добровольцев.</w:t>
      </w:r>
    </w:p>
    <w:p w14:paraId="3FBBE816" w14:textId="186ADB8A" w:rsidR="00AF0234" w:rsidRPr="00543E41" w:rsidRDefault="00AF0234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В исследованиях </w:t>
      </w:r>
      <w:r w:rsidRPr="00543E41">
        <w:rPr>
          <w:color w:val="000000"/>
          <w:lang w:val="en-US"/>
        </w:rPr>
        <w:t>in</w:t>
      </w:r>
      <w:r w:rsidRPr="00543E41">
        <w:rPr>
          <w:color w:val="000000"/>
        </w:rPr>
        <w:t xml:space="preserve"> </w:t>
      </w:r>
      <w:r w:rsidRPr="00543E41">
        <w:rPr>
          <w:color w:val="000000"/>
          <w:lang w:val="en-US"/>
        </w:rPr>
        <w:t>vitro</w:t>
      </w:r>
      <w:r w:rsidRPr="00543E41">
        <w:rPr>
          <w:color w:val="000000"/>
        </w:rPr>
        <w:t xml:space="preserve"> мемантин не ингибировал изоферменты </w:t>
      </w:r>
      <w:r w:rsidRPr="00543E41">
        <w:rPr>
          <w:color w:val="000000"/>
          <w:lang w:val="en-US"/>
        </w:rPr>
        <w:t>CYP</w:t>
      </w:r>
      <w:r w:rsidRPr="00543E41">
        <w:rPr>
          <w:color w:val="000000"/>
        </w:rPr>
        <w:t xml:space="preserve"> 1</w:t>
      </w:r>
      <w:r w:rsidRPr="00543E41">
        <w:rPr>
          <w:color w:val="000000"/>
          <w:lang w:val="en-US"/>
        </w:rPr>
        <w:t>A</w:t>
      </w:r>
      <w:r w:rsidRPr="00543E41">
        <w:rPr>
          <w:color w:val="000000"/>
        </w:rPr>
        <w:t>2, 2</w:t>
      </w:r>
      <w:r w:rsidRPr="00543E41">
        <w:rPr>
          <w:color w:val="000000"/>
          <w:lang w:val="en-US"/>
        </w:rPr>
        <w:t>A</w:t>
      </w:r>
      <w:r w:rsidRPr="00543E41">
        <w:rPr>
          <w:color w:val="000000"/>
        </w:rPr>
        <w:t>6, 2</w:t>
      </w:r>
      <w:r w:rsidRPr="00543E41">
        <w:rPr>
          <w:color w:val="000000"/>
          <w:lang w:val="en-US"/>
        </w:rPr>
        <w:t>C</w:t>
      </w:r>
      <w:r w:rsidRPr="00543E41">
        <w:rPr>
          <w:color w:val="000000"/>
        </w:rPr>
        <w:t>9, 2</w:t>
      </w:r>
      <w:r w:rsidRPr="00543E41">
        <w:rPr>
          <w:color w:val="000000"/>
          <w:lang w:val="en-US"/>
        </w:rPr>
        <w:t>D</w:t>
      </w:r>
      <w:r w:rsidRPr="00543E41">
        <w:rPr>
          <w:color w:val="000000"/>
        </w:rPr>
        <w:t>6, 2</w:t>
      </w:r>
      <w:r w:rsidRPr="00543E41">
        <w:rPr>
          <w:color w:val="000000"/>
          <w:lang w:val="en-US"/>
        </w:rPr>
        <w:t>E</w:t>
      </w:r>
      <w:r w:rsidRPr="00543E41">
        <w:rPr>
          <w:color w:val="000000"/>
        </w:rPr>
        <w:t>1, 3</w:t>
      </w:r>
      <w:r w:rsidRPr="00543E41">
        <w:rPr>
          <w:color w:val="000000"/>
          <w:lang w:val="en-US"/>
        </w:rPr>
        <w:t>A</w:t>
      </w:r>
      <w:r w:rsidRPr="00543E41">
        <w:rPr>
          <w:color w:val="000000"/>
        </w:rPr>
        <w:t>, монооксигеназу, содержащую флавин, эпоксидгидролазу</w:t>
      </w:r>
      <w:r w:rsidR="00A91FDF" w:rsidRPr="00543E41">
        <w:rPr>
          <w:color w:val="000000"/>
        </w:rPr>
        <w:t>, а также</w:t>
      </w:r>
      <w:r w:rsidRPr="00543E41">
        <w:rPr>
          <w:color w:val="000000"/>
        </w:rPr>
        <w:t xml:space="preserve"> сульфатирование</w:t>
      </w:r>
      <w:r w:rsidR="00751582">
        <w:rPr>
          <w:color w:val="000000"/>
        </w:rPr>
        <w:t>.</w:t>
      </w:r>
    </w:p>
    <w:p w14:paraId="26C367C4" w14:textId="77777777" w:rsidR="007A46D5" w:rsidRPr="00543E41" w:rsidRDefault="007A46D5" w:rsidP="00A91FDF">
      <w:pPr>
        <w:pStyle w:val="a4"/>
        <w:widowControl w:val="0"/>
        <w:spacing w:before="0" w:beforeAutospacing="0" w:after="0" w:afterAutospacing="0"/>
        <w:jc w:val="both"/>
      </w:pPr>
    </w:p>
    <w:p w14:paraId="31708087" w14:textId="77777777" w:rsidR="009A6900" w:rsidRPr="00543E41" w:rsidRDefault="007A46D5" w:rsidP="00A91FDF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543E41">
        <w:rPr>
          <w:b/>
        </w:rPr>
        <w:t>Особые указания</w:t>
      </w:r>
      <w:bookmarkStart w:id="2" w:name="10"/>
      <w:bookmarkEnd w:id="2"/>
    </w:p>
    <w:p w14:paraId="6B4D87B4" w14:textId="77777777" w:rsidR="007A0191" w:rsidRPr="00543E41" w:rsidRDefault="007A0191" w:rsidP="00A91FDF">
      <w:pPr>
        <w:widowControl w:val="0"/>
        <w:jc w:val="both"/>
        <w:rPr>
          <w:color w:val="000000"/>
        </w:rPr>
      </w:pPr>
      <w:bookmarkStart w:id="3" w:name="12"/>
      <w:bookmarkEnd w:id="3"/>
      <w:r w:rsidRPr="00543E41">
        <w:rPr>
          <w:color w:val="000000"/>
        </w:rPr>
        <w:t xml:space="preserve">С осторожностью </w:t>
      </w:r>
      <w:r w:rsidR="00235B11" w:rsidRPr="00543E41">
        <w:rPr>
          <w:color w:val="000000"/>
        </w:rPr>
        <w:t xml:space="preserve">применять у </w:t>
      </w:r>
      <w:r w:rsidR="009E5586" w:rsidRPr="00543E41">
        <w:rPr>
          <w:color w:val="000000"/>
        </w:rPr>
        <w:t>пациент</w:t>
      </w:r>
      <w:r w:rsidR="00235B11" w:rsidRPr="00543E41">
        <w:rPr>
          <w:color w:val="000000"/>
        </w:rPr>
        <w:t>ов</w:t>
      </w:r>
      <w:r w:rsidR="009E5586" w:rsidRPr="00543E41">
        <w:rPr>
          <w:color w:val="000000"/>
        </w:rPr>
        <w:t xml:space="preserve"> с</w:t>
      </w:r>
      <w:r w:rsidRPr="00543E41">
        <w:rPr>
          <w:color w:val="000000"/>
        </w:rPr>
        <w:t xml:space="preserve"> </w:t>
      </w:r>
      <w:r w:rsidR="00AF0234" w:rsidRPr="00543E41">
        <w:rPr>
          <w:color w:val="000000"/>
        </w:rPr>
        <w:t xml:space="preserve">тиреотоксикозом, </w:t>
      </w:r>
      <w:r w:rsidRPr="00543E41">
        <w:rPr>
          <w:color w:val="000000"/>
        </w:rPr>
        <w:t>эпилепсией, судорогами (в</w:t>
      </w:r>
      <w:r w:rsidR="00C45745" w:rsidRPr="00543E41">
        <w:rPr>
          <w:color w:val="000000"/>
        </w:rPr>
        <w:t> </w:t>
      </w:r>
      <w:r w:rsidRPr="00543E41">
        <w:rPr>
          <w:color w:val="000000"/>
        </w:rPr>
        <w:t>том числе в анамнезе) и предрасположенностью к эпилепсии.</w:t>
      </w:r>
    </w:p>
    <w:p w14:paraId="185BE3C7" w14:textId="7214EC5F" w:rsidR="009E5586" w:rsidRPr="00543E41" w:rsidRDefault="007A0191" w:rsidP="00A91FDF">
      <w:pPr>
        <w:widowControl w:val="0"/>
        <w:tabs>
          <w:tab w:val="left" w:pos="3261"/>
        </w:tabs>
        <w:jc w:val="both"/>
        <w:rPr>
          <w:color w:val="000000"/>
        </w:rPr>
      </w:pPr>
      <w:r w:rsidRPr="00543E41">
        <w:rPr>
          <w:color w:val="000000"/>
        </w:rPr>
        <w:t xml:space="preserve">Следует избегать </w:t>
      </w:r>
      <w:r w:rsidR="00235B11" w:rsidRPr="00543E41">
        <w:rPr>
          <w:color w:val="000000"/>
        </w:rPr>
        <w:t xml:space="preserve">одновременного </w:t>
      </w:r>
      <w:r w:rsidRPr="00543E41">
        <w:rPr>
          <w:color w:val="000000"/>
        </w:rPr>
        <w:t xml:space="preserve">применения мемантина и антагонистов </w:t>
      </w:r>
      <w:r w:rsidRPr="00543E41">
        <w:rPr>
          <w:color w:val="000000"/>
          <w:lang w:val="en-US"/>
        </w:rPr>
        <w:t>NMDA</w:t>
      </w:r>
      <w:r w:rsidRPr="00543E41">
        <w:rPr>
          <w:color w:val="000000"/>
        </w:rPr>
        <w:t>-рецепторов, таких как амантадин, кетамин и декстрометорфан</w:t>
      </w:r>
      <w:r w:rsidR="006A0671" w:rsidRPr="00543E41">
        <w:rPr>
          <w:color w:val="000000"/>
        </w:rPr>
        <w:t>.</w:t>
      </w:r>
      <w:r w:rsidR="00497B59">
        <w:rPr>
          <w:color w:val="000000"/>
        </w:rPr>
        <w:t xml:space="preserve"> Наличие факторов, </w:t>
      </w:r>
      <w:r w:rsidR="00497B59">
        <w:rPr>
          <w:color w:val="000000"/>
        </w:rPr>
        <w:lastRenderedPageBreak/>
        <w:t xml:space="preserve">повышающих </w:t>
      </w:r>
      <w:r w:rsidR="00497B59">
        <w:rPr>
          <w:color w:val="000000"/>
          <w:lang w:val="en-US"/>
        </w:rPr>
        <w:t>p</w:t>
      </w:r>
      <w:r w:rsidR="00497B59">
        <w:rPr>
          <w:color w:val="000000"/>
        </w:rPr>
        <w:t>Н</w:t>
      </w:r>
      <w:r w:rsidR="00497B59" w:rsidRPr="00A872D8">
        <w:rPr>
          <w:color w:val="000000"/>
        </w:rPr>
        <w:t xml:space="preserve"> </w:t>
      </w:r>
      <w:r w:rsidR="00497B59">
        <w:rPr>
          <w:color w:val="000000"/>
        </w:rPr>
        <w:t>мочи (резкая смена диеты,</w:t>
      </w:r>
      <w:r w:rsidR="00A872D8">
        <w:rPr>
          <w:color w:val="000000"/>
        </w:rPr>
        <w:t xml:space="preserve"> </w:t>
      </w:r>
      <w:r w:rsidR="00497B59">
        <w:rPr>
          <w:color w:val="000000"/>
        </w:rPr>
        <w:t>например, переход на вегетарианство, обильный прием щелочных желудочных буферов), тяжелые инфекции мочевыводящих путей, инфаркт миокарда (в анамнезе),</w:t>
      </w:r>
      <w:r w:rsidR="00FB35FA">
        <w:rPr>
          <w:color w:val="000000"/>
        </w:rPr>
        <w:t xml:space="preserve"> </w:t>
      </w:r>
      <w:r w:rsidR="00497B59">
        <w:rPr>
          <w:color w:val="000000"/>
        </w:rPr>
        <w:t xml:space="preserve">сердечная недостаточность </w:t>
      </w:r>
      <w:r w:rsidR="00497B59">
        <w:rPr>
          <w:color w:val="000000"/>
          <w:lang w:val="en-US"/>
        </w:rPr>
        <w:t>III</w:t>
      </w:r>
      <w:r w:rsidR="00497B59" w:rsidRPr="00A872D8">
        <w:rPr>
          <w:color w:val="000000"/>
        </w:rPr>
        <w:t>-</w:t>
      </w:r>
      <w:r w:rsidR="00497B59">
        <w:rPr>
          <w:color w:val="000000"/>
          <w:lang w:val="en-US"/>
        </w:rPr>
        <w:t>IV</w:t>
      </w:r>
      <w:r w:rsidR="00497B59" w:rsidRPr="00A872D8">
        <w:rPr>
          <w:color w:val="000000"/>
        </w:rPr>
        <w:t xml:space="preserve"> </w:t>
      </w:r>
      <w:r w:rsidR="00497B59">
        <w:rPr>
          <w:color w:val="000000"/>
        </w:rPr>
        <w:t xml:space="preserve">функциональный класс (по классификации </w:t>
      </w:r>
      <w:r w:rsidR="00497B59">
        <w:rPr>
          <w:color w:val="000000"/>
          <w:lang w:val="en-US"/>
        </w:rPr>
        <w:t>NYHA</w:t>
      </w:r>
      <w:r w:rsidR="00497B59">
        <w:rPr>
          <w:color w:val="000000"/>
        </w:rPr>
        <w:t>), неконтролируемая артериальная гипертензия, почечная недостаточность, печеночная недостаточность.</w:t>
      </w:r>
    </w:p>
    <w:p w14:paraId="183E059D" w14:textId="3A004325" w:rsidR="00E40A59" w:rsidRPr="00543E41" w:rsidRDefault="00E40A59" w:rsidP="00A91FDF">
      <w:pPr>
        <w:widowControl w:val="0"/>
        <w:jc w:val="both"/>
        <w:rPr>
          <w:bCs/>
        </w:rPr>
      </w:pPr>
      <w:r w:rsidRPr="00543E41">
        <w:rPr>
          <w:bCs/>
        </w:rPr>
        <w:t>Препарат</w:t>
      </w:r>
      <w:r w:rsidR="00E33AFB">
        <w:rPr>
          <w:bCs/>
        </w:rPr>
        <w:t xml:space="preserve"> </w:t>
      </w:r>
      <w:r w:rsidRPr="00543E41">
        <w:rPr>
          <w:bCs/>
        </w:rPr>
        <w:t>содержит лактозы моногидрат</w:t>
      </w:r>
      <w:r w:rsidR="00E33AFB">
        <w:rPr>
          <w:bCs/>
        </w:rPr>
        <w:t>, в связи с этим п</w:t>
      </w:r>
      <w:r w:rsidRPr="00543E41">
        <w:rPr>
          <w:bCs/>
        </w:rPr>
        <w:t xml:space="preserve">ациентам с наследственной непереносимостью галактозы, лактазной недостаточностью или глюкозо-галактозной мальабсорбцией </w:t>
      </w:r>
      <w:r w:rsidR="00E33AFB">
        <w:rPr>
          <w:bCs/>
        </w:rPr>
        <w:t xml:space="preserve">его </w:t>
      </w:r>
      <w:r w:rsidRPr="00543E41">
        <w:rPr>
          <w:bCs/>
        </w:rPr>
        <w:t>не следует принимать</w:t>
      </w:r>
      <w:r w:rsidR="00E33AFB">
        <w:rPr>
          <w:bCs/>
        </w:rPr>
        <w:t>.</w:t>
      </w:r>
    </w:p>
    <w:p w14:paraId="1E6A13FB" w14:textId="77777777" w:rsidR="00E40A59" w:rsidRPr="00543E41" w:rsidRDefault="00E40A59" w:rsidP="00A91FDF">
      <w:pPr>
        <w:widowControl w:val="0"/>
        <w:jc w:val="both"/>
        <w:rPr>
          <w:color w:val="000000"/>
        </w:rPr>
      </w:pPr>
    </w:p>
    <w:p w14:paraId="668D43A5" w14:textId="0CE2E23D" w:rsidR="005667D0" w:rsidRPr="00543E41" w:rsidRDefault="005667D0" w:rsidP="00A91FDF">
      <w:pPr>
        <w:pStyle w:val="21"/>
        <w:keepNext/>
        <w:widowControl w:val="0"/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543E41">
        <w:rPr>
          <w:b/>
          <w:sz w:val="24"/>
          <w:szCs w:val="24"/>
        </w:rPr>
        <w:t>Влияние на способность управл</w:t>
      </w:r>
      <w:r w:rsidR="00890B94">
        <w:rPr>
          <w:b/>
          <w:sz w:val="24"/>
          <w:szCs w:val="24"/>
        </w:rPr>
        <w:t>ять</w:t>
      </w:r>
      <w:r w:rsidRPr="00543E41">
        <w:rPr>
          <w:b/>
          <w:sz w:val="24"/>
          <w:szCs w:val="24"/>
        </w:rPr>
        <w:t xml:space="preserve"> транспортными средствами</w:t>
      </w:r>
      <w:r w:rsidR="00890B94">
        <w:rPr>
          <w:b/>
          <w:sz w:val="24"/>
          <w:szCs w:val="24"/>
        </w:rPr>
        <w:t>,</w:t>
      </w:r>
      <w:r w:rsidRPr="00543E41">
        <w:rPr>
          <w:b/>
          <w:sz w:val="24"/>
          <w:szCs w:val="24"/>
        </w:rPr>
        <w:t xml:space="preserve"> механизмами</w:t>
      </w:r>
    </w:p>
    <w:p w14:paraId="54690B60" w14:textId="3C0EC9EA" w:rsidR="00AD5748" w:rsidRPr="00543E41" w:rsidRDefault="00AD5748" w:rsidP="00A91FDF">
      <w:pPr>
        <w:widowControl w:val="0"/>
        <w:jc w:val="both"/>
        <w:rPr>
          <w:color w:val="000000"/>
        </w:rPr>
      </w:pPr>
      <w:r w:rsidRPr="00543E41">
        <w:rPr>
          <w:color w:val="000000"/>
        </w:rPr>
        <w:t xml:space="preserve">У пациентов с болезнью Альцгеймера на стадии умеренной и тяжелой деменции обычно нарушена способность к вождению автотранспорта и управлению сложными механизмами. Кроме того, </w:t>
      </w:r>
      <w:r w:rsidR="00497B59">
        <w:rPr>
          <w:color w:val="000000"/>
        </w:rPr>
        <w:t>мемантин оказывает незначительное или умеренное влияние на способность управлять транспортными средствами и работать с механизмами, поэтому больных следует предупредить о необходимости проявлять особую осторожность.</w:t>
      </w:r>
    </w:p>
    <w:p w14:paraId="5CE63412" w14:textId="77777777" w:rsidR="005667D0" w:rsidRPr="00543E41" w:rsidRDefault="005667D0" w:rsidP="00A91FDF">
      <w:pPr>
        <w:widowControl w:val="0"/>
        <w:jc w:val="both"/>
        <w:rPr>
          <w:b/>
        </w:rPr>
      </w:pPr>
    </w:p>
    <w:p w14:paraId="06687A59" w14:textId="77777777" w:rsidR="005667D0" w:rsidRPr="00543E41" w:rsidRDefault="005667D0" w:rsidP="00A91FDF">
      <w:pPr>
        <w:pStyle w:val="ac"/>
        <w:keepNext/>
        <w:widowControl w:val="0"/>
        <w:spacing w:after="0"/>
        <w:jc w:val="both"/>
        <w:rPr>
          <w:b/>
          <w:sz w:val="24"/>
          <w:szCs w:val="24"/>
        </w:rPr>
      </w:pPr>
      <w:r w:rsidRPr="00543E41">
        <w:rPr>
          <w:b/>
          <w:sz w:val="24"/>
          <w:szCs w:val="24"/>
        </w:rPr>
        <w:t>Форма выпуска</w:t>
      </w:r>
    </w:p>
    <w:p w14:paraId="712A59B5" w14:textId="77777777" w:rsidR="005667D0" w:rsidRPr="00543E41" w:rsidRDefault="005667D0" w:rsidP="00A91FDF">
      <w:pPr>
        <w:pStyle w:val="ac"/>
        <w:widowControl w:val="0"/>
        <w:spacing w:after="0"/>
        <w:jc w:val="both"/>
        <w:rPr>
          <w:rFonts w:eastAsia="TimesNewRomanPSMT"/>
          <w:sz w:val="24"/>
          <w:szCs w:val="24"/>
        </w:rPr>
      </w:pPr>
      <w:r w:rsidRPr="00543E41">
        <w:rPr>
          <w:rFonts w:eastAsia="TimesNewRomanPSMT"/>
          <w:sz w:val="24"/>
          <w:szCs w:val="24"/>
        </w:rPr>
        <w:t>Таблетки, покрытые пленочной оболочкой, 1</w:t>
      </w:r>
      <w:r w:rsidR="009434B3" w:rsidRPr="00543E41">
        <w:rPr>
          <w:rFonts w:eastAsia="TimesNewRomanPSMT"/>
          <w:sz w:val="24"/>
          <w:szCs w:val="24"/>
        </w:rPr>
        <w:t>0</w:t>
      </w:r>
      <w:r w:rsidR="00C45745" w:rsidRPr="00543E41">
        <w:rPr>
          <w:rFonts w:eastAsia="TimesNewRomanPSMT"/>
          <w:sz w:val="24"/>
          <w:szCs w:val="24"/>
        </w:rPr>
        <w:t> мг</w:t>
      </w:r>
      <w:r w:rsidRPr="00543E41">
        <w:rPr>
          <w:rFonts w:eastAsia="TimesNewRomanPSMT"/>
          <w:sz w:val="24"/>
          <w:szCs w:val="24"/>
        </w:rPr>
        <w:t xml:space="preserve"> и </w:t>
      </w:r>
      <w:r w:rsidR="009434B3" w:rsidRPr="00543E41">
        <w:rPr>
          <w:rFonts w:eastAsia="TimesNewRomanPSMT"/>
          <w:sz w:val="24"/>
          <w:szCs w:val="24"/>
        </w:rPr>
        <w:t>20</w:t>
      </w:r>
      <w:r w:rsidR="00C45745" w:rsidRPr="00543E41">
        <w:rPr>
          <w:rFonts w:eastAsia="TimesNewRomanPSMT"/>
          <w:sz w:val="24"/>
          <w:szCs w:val="24"/>
        </w:rPr>
        <w:t> мг</w:t>
      </w:r>
      <w:r w:rsidRPr="00543E41">
        <w:rPr>
          <w:rFonts w:eastAsia="TimesNewRomanPSMT"/>
          <w:sz w:val="24"/>
          <w:szCs w:val="24"/>
        </w:rPr>
        <w:t>.</w:t>
      </w:r>
    </w:p>
    <w:p w14:paraId="00C0697F" w14:textId="77777777" w:rsidR="005667D0" w:rsidRPr="00543E41" w:rsidRDefault="005451C7" w:rsidP="00A91FDF">
      <w:pPr>
        <w:pStyle w:val="ac"/>
        <w:widowControl w:val="0"/>
        <w:spacing w:after="0"/>
        <w:jc w:val="both"/>
        <w:rPr>
          <w:rFonts w:eastAsia="TimesNewRomanPSMT"/>
          <w:sz w:val="24"/>
          <w:szCs w:val="24"/>
        </w:rPr>
      </w:pPr>
      <w:r w:rsidRPr="00543E41">
        <w:rPr>
          <w:rFonts w:eastAsia="TimesNewRomanPSMT"/>
          <w:sz w:val="24"/>
          <w:szCs w:val="24"/>
        </w:rPr>
        <w:t>10, 15 или 30</w:t>
      </w:r>
      <w:r w:rsidR="005667D0" w:rsidRPr="00543E41">
        <w:rPr>
          <w:rFonts w:eastAsia="TimesNewRomanPSMT"/>
          <w:sz w:val="24"/>
          <w:szCs w:val="24"/>
        </w:rPr>
        <w:t xml:space="preserve"> таблеток в контурной ячейковой упаковке из пленки поливинилхлоридной и фольги алюминиевой.</w:t>
      </w:r>
    </w:p>
    <w:p w14:paraId="709BE09C" w14:textId="4DBD9855" w:rsidR="005667D0" w:rsidRPr="00543E41" w:rsidRDefault="009434B3" w:rsidP="00A91FDF">
      <w:pPr>
        <w:pStyle w:val="ac"/>
        <w:widowControl w:val="0"/>
        <w:spacing w:after="0"/>
        <w:jc w:val="both"/>
        <w:rPr>
          <w:rFonts w:eastAsia="TimesNewRomanPSMT"/>
          <w:sz w:val="24"/>
          <w:szCs w:val="24"/>
        </w:rPr>
      </w:pPr>
      <w:r w:rsidRPr="00543E41">
        <w:rPr>
          <w:rFonts w:eastAsia="TimesNewRomanPSMT"/>
          <w:sz w:val="24"/>
          <w:szCs w:val="24"/>
        </w:rPr>
        <w:t>30</w:t>
      </w:r>
      <w:r w:rsidR="005667D0" w:rsidRPr="00543E41">
        <w:rPr>
          <w:rFonts w:eastAsia="TimesNewRomanPSMT"/>
          <w:sz w:val="24"/>
          <w:szCs w:val="24"/>
        </w:rPr>
        <w:t xml:space="preserve"> таблеток в банке из полиэтилена высокой плотности</w:t>
      </w:r>
      <w:r w:rsidR="00382446" w:rsidRPr="00382446">
        <w:rPr>
          <w:rFonts w:eastAsia="TimesNewRomanPSMT"/>
          <w:sz w:val="24"/>
          <w:szCs w:val="24"/>
        </w:rPr>
        <w:t>, укупоренной крышкой полимерной натягиваемой с контролем первого вскрытия</w:t>
      </w:r>
      <w:r w:rsidR="005667D0" w:rsidRPr="00543E41">
        <w:rPr>
          <w:rFonts w:eastAsia="TimesNewRomanPSMT"/>
          <w:sz w:val="24"/>
          <w:szCs w:val="24"/>
        </w:rPr>
        <w:t>.</w:t>
      </w:r>
      <w:r w:rsidR="00382446">
        <w:rPr>
          <w:rFonts w:eastAsia="TimesNewRomanPSMT"/>
          <w:sz w:val="24"/>
          <w:szCs w:val="24"/>
        </w:rPr>
        <w:t xml:space="preserve"> </w:t>
      </w:r>
    </w:p>
    <w:p w14:paraId="2704B8B6" w14:textId="77777777" w:rsidR="005667D0" w:rsidRPr="00543E41" w:rsidRDefault="005451C7" w:rsidP="00A91FDF">
      <w:pPr>
        <w:pStyle w:val="ac"/>
        <w:widowControl w:val="0"/>
        <w:spacing w:after="0"/>
        <w:jc w:val="both"/>
        <w:rPr>
          <w:rFonts w:eastAsia="TimesNewRomanPSMT"/>
          <w:sz w:val="24"/>
          <w:szCs w:val="24"/>
        </w:rPr>
      </w:pPr>
      <w:r w:rsidRPr="00543E41">
        <w:rPr>
          <w:rFonts w:eastAsia="TimesNewRomanPSMT"/>
          <w:sz w:val="24"/>
          <w:szCs w:val="24"/>
        </w:rPr>
        <w:t xml:space="preserve">3, 6 или 9 контурных ячейковых упаковок по 10 таблеток, </w:t>
      </w:r>
      <w:r w:rsidR="005667D0" w:rsidRPr="00543E41">
        <w:rPr>
          <w:rFonts w:eastAsia="TimesNewRomanPSMT"/>
          <w:sz w:val="24"/>
          <w:szCs w:val="24"/>
        </w:rPr>
        <w:t>2</w:t>
      </w:r>
      <w:r w:rsidR="009434B3" w:rsidRPr="00543E41">
        <w:rPr>
          <w:rFonts w:eastAsia="TimesNewRomanPSMT"/>
          <w:sz w:val="24"/>
          <w:szCs w:val="24"/>
        </w:rPr>
        <w:t>, 4 или 6</w:t>
      </w:r>
      <w:r w:rsidRPr="00543E41">
        <w:rPr>
          <w:rFonts w:eastAsia="TimesNewRomanPSMT"/>
          <w:sz w:val="24"/>
          <w:szCs w:val="24"/>
        </w:rPr>
        <w:t xml:space="preserve"> контурных ячейковых</w:t>
      </w:r>
      <w:r w:rsidR="005667D0" w:rsidRPr="00543E41">
        <w:rPr>
          <w:rFonts w:eastAsia="TimesNewRomanPSMT"/>
          <w:sz w:val="24"/>
          <w:szCs w:val="24"/>
        </w:rPr>
        <w:t xml:space="preserve"> упаков</w:t>
      </w:r>
      <w:r w:rsidRPr="00543E41">
        <w:rPr>
          <w:rFonts w:eastAsia="TimesNewRomanPSMT"/>
          <w:sz w:val="24"/>
          <w:szCs w:val="24"/>
        </w:rPr>
        <w:t>ок</w:t>
      </w:r>
      <w:r w:rsidR="005667D0" w:rsidRPr="00543E41">
        <w:rPr>
          <w:rFonts w:eastAsia="TimesNewRomanPSMT"/>
          <w:sz w:val="24"/>
          <w:szCs w:val="24"/>
        </w:rPr>
        <w:t xml:space="preserve"> по </w:t>
      </w:r>
      <w:r w:rsidR="009434B3" w:rsidRPr="00543E41">
        <w:rPr>
          <w:rFonts w:eastAsia="TimesNewRomanPSMT"/>
          <w:sz w:val="24"/>
          <w:szCs w:val="24"/>
        </w:rPr>
        <w:t>15</w:t>
      </w:r>
      <w:r w:rsidR="005667D0" w:rsidRPr="00543E41">
        <w:rPr>
          <w:rFonts w:eastAsia="TimesNewRomanPSMT"/>
          <w:sz w:val="24"/>
          <w:szCs w:val="24"/>
        </w:rPr>
        <w:t xml:space="preserve"> таблет</w:t>
      </w:r>
      <w:r w:rsidR="009434B3" w:rsidRPr="00543E41">
        <w:rPr>
          <w:rFonts w:eastAsia="TimesNewRomanPSMT"/>
          <w:sz w:val="24"/>
          <w:szCs w:val="24"/>
        </w:rPr>
        <w:t>ок</w:t>
      </w:r>
      <w:r w:rsidRPr="00543E41">
        <w:rPr>
          <w:rFonts w:eastAsia="TimesNewRomanPSMT"/>
          <w:sz w:val="24"/>
          <w:szCs w:val="24"/>
        </w:rPr>
        <w:t>, 1, 2 или 3 контурные ячейковые упаковки по 30 таблеток</w:t>
      </w:r>
      <w:r w:rsidR="009434B3" w:rsidRPr="00543E41">
        <w:rPr>
          <w:rFonts w:eastAsia="TimesNewRomanPSMT"/>
          <w:sz w:val="24"/>
          <w:szCs w:val="24"/>
        </w:rPr>
        <w:t xml:space="preserve"> </w:t>
      </w:r>
      <w:r w:rsidR="005667D0" w:rsidRPr="00543E41">
        <w:rPr>
          <w:rFonts w:eastAsia="TimesNewRomanPSMT"/>
          <w:sz w:val="24"/>
          <w:szCs w:val="24"/>
        </w:rPr>
        <w:t>или одна банка вместе с инструкцией по применению в пачке из картона.</w:t>
      </w:r>
    </w:p>
    <w:p w14:paraId="7B2EDCAE" w14:textId="77777777" w:rsidR="005667D0" w:rsidRPr="00543E41" w:rsidRDefault="005667D0" w:rsidP="00A91FDF">
      <w:pPr>
        <w:widowControl w:val="0"/>
        <w:jc w:val="both"/>
        <w:rPr>
          <w:b/>
        </w:rPr>
      </w:pPr>
    </w:p>
    <w:p w14:paraId="4FD4F2C0" w14:textId="77777777" w:rsidR="007A46D5" w:rsidRPr="00543E41" w:rsidRDefault="007A46D5" w:rsidP="00A91FDF">
      <w:pPr>
        <w:keepNext/>
        <w:widowControl w:val="0"/>
        <w:jc w:val="both"/>
        <w:rPr>
          <w:b/>
        </w:rPr>
      </w:pPr>
      <w:r w:rsidRPr="00543E41">
        <w:rPr>
          <w:b/>
        </w:rPr>
        <w:t>Условия хранения</w:t>
      </w:r>
    </w:p>
    <w:p w14:paraId="37718D30" w14:textId="77777777" w:rsidR="007A46D5" w:rsidRPr="00543E41" w:rsidRDefault="00DF5C0B" w:rsidP="00A91FDF">
      <w:pPr>
        <w:pStyle w:val="1"/>
        <w:widowControl w:val="0"/>
        <w:suppressAutoHyphens/>
        <w:jc w:val="both"/>
        <w:rPr>
          <w:color w:val="auto"/>
        </w:rPr>
      </w:pPr>
      <w:r w:rsidRPr="00543E41">
        <w:rPr>
          <w:color w:val="auto"/>
        </w:rPr>
        <w:t xml:space="preserve">Хранить в </w:t>
      </w:r>
      <w:r w:rsidR="007A46D5" w:rsidRPr="00543E41">
        <w:rPr>
          <w:color w:val="auto"/>
        </w:rPr>
        <w:t>защищенном от света месте при температуре не выше 25</w:t>
      </w:r>
      <w:r w:rsidR="005451C7" w:rsidRPr="00543E41">
        <w:rPr>
          <w:color w:val="auto"/>
        </w:rPr>
        <w:t xml:space="preserve"> </w:t>
      </w:r>
      <w:r w:rsidR="007A46D5" w:rsidRPr="00543E41">
        <w:rPr>
          <w:color w:val="auto"/>
        </w:rPr>
        <w:t xml:space="preserve">ºС. </w:t>
      </w:r>
    </w:p>
    <w:p w14:paraId="1A423153" w14:textId="77777777" w:rsidR="005667D0" w:rsidRPr="00543E41" w:rsidRDefault="005667D0" w:rsidP="00A91FDF">
      <w:pPr>
        <w:widowControl w:val="0"/>
        <w:jc w:val="both"/>
      </w:pPr>
      <w:r w:rsidRPr="00543E41">
        <w:t xml:space="preserve">Хранить в недоступном для детей месте. </w:t>
      </w:r>
    </w:p>
    <w:p w14:paraId="786AEA2E" w14:textId="77777777" w:rsidR="007A46D5" w:rsidRPr="00543E41" w:rsidRDefault="007A46D5" w:rsidP="00A91FDF">
      <w:pPr>
        <w:widowControl w:val="0"/>
        <w:jc w:val="both"/>
      </w:pPr>
    </w:p>
    <w:p w14:paraId="38A6ED48" w14:textId="77777777" w:rsidR="005667D0" w:rsidRPr="00543E41" w:rsidRDefault="005667D0" w:rsidP="00A91FDF">
      <w:pPr>
        <w:widowControl w:val="0"/>
        <w:jc w:val="both"/>
        <w:rPr>
          <w:b/>
        </w:rPr>
      </w:pPr>
      <w:r w:rsidRPr="00543E41">
        <w:rPr>
          <w:b/>
        </w:rPr>
        <w:t>Срок годности</w:t>
      </w:r>
    </w:p>
    <w:p w14:paraId="76E9C5AF" w14:textId="77777777" w:rsidR="005667D0" w:rsidRPr="00543E41" w:rsidRDefault="00DF24B6" w:rsidP="00A91FDF">
      <w:pPr>
        <w:widowControl w:val="0"/>
        <w:jc w:val="both"/>
      </w:pPr>
      <w:r w:rsidRPr="00543E41">
        <w:t>3</w:t>
      </w:r>
      <w:r w:rsidR="005667D0" w:rsidRPr="00543E41">
        <w:t xml:space="preserve"> года. </w:t>
      </w:r>
    </w:p>
    <w:p w14:paraId="0151C550" w14:textId="2C935E85" w:rsidR="005667D0" w:rsidRPr="00543E41" w:rsidRDefault="005667D0" w:rsidP="00A91FDF">
      <w:pPr>
        <w:widowControl w:val="0"/>
        <w:jc w:val="both"/>
      </w:pPr>
      <w:r w:rsidRPr="00543E41">
        <w:t xml:space="preserve">Не </w:t>
      </w:r>
      <w:r w:rsidR="00F76F32">
        <w:t>применять</w:t>
      </w:r>
      <w:r w:rsidR="00F76F32" w:rsidRPr="00543E41">
        <w:t xml:space="preserve"> </w:t>
      </w:r>
      <w:r w:rsidRPr="00543E41">
        <w:t>по истечении срока годности.</w:t>
      </w:r>
    </w:p>
    <w:p w14:paraId="390B2F8E" w14:textId="77777777" w:rsidR="005667D0" w:rsidRPr="00543E41" w:rsidRDefault="005667D0" w:rsidP="00A91FDF">
      <w:pPr>
        <w:widowControl w:val="0"/>
        <w:jc w:val="both"/>
        <w:rPr>
          <w:b/>
        </w:rPr>
      </w:pPr>
    </w:p>
    <w:p w14:paraId="7D2C3BD7" w14:textId="77777777" w:rsidR="007A46D5" w:rsidRPr="00543E41" w:rsidRDefault="007A46D5" w:rsidP="00A91FDF">
      <w:pPr>
        <w:widowControl w:val="0"/>
        <w:jc w:val="both"/>
        <w:rPr>
          <w:b/>
        </w:rPr>
      </w:pPr>
      <w:r w:rsidRPr="00543E41">
        <w:rPr>
          <w:b/>
        </w:rPr>
        <w:t xml:space="preserve">Условия отпуска </w:t>
      </w:r>
    </w:p>
    <w:p w14:paraId="2500A9EF" w14:textId="77777777" w:rsidR="007A46D5" w:rsidRPr="00543E41" w:rsidRDefault="007A46D5" w:rsidP="00A91FDF">
      <w:pPr>
        <w:widowControl w:val="0"/>
        <w:jc w:val="both"/>
      </w:pPr>
      <w:r w:rsidRPr="00543E41">
        <w:t>Отпуска</w:t>
      </w:r>
      <w:r w:rsidR="005667D0" w:rsidRPr="00543E41">
        <w:t>ют</w:t>
      </w:r>
      <w:r w:rsidRPr="00543E41">
        <w:t xml:space="preserve"> по рецепту.</w:t>
      </w:r>
    </w:p>
    <w:p w14:paraId="2583EEFF" w14:textId="77777777" w:rsidR="007A46D5" w:rsidRPr="00543E41" w:rsidRDefault="007A46D5" w:rsidP="00A91FDF">
      <w:pPr>
        <w:widowControl w:val="0"/>
        <w:jc w:val="both"/>
      </w:pPr>
    </w:p>
    <w:p w14:paraId="5127C4F8" w14:textId="77777777" w:rsidR="00AB03E8" w:rsidRPr="00ED44C5" w:rsidRDefault="00AB03E8" w:rsidP="00AB03E8">
      <w:pPr>
        <w:keepNext/>
        <w:jc w:val="both"/>
        <w:rPr>
          <w:b/>
          <w:bCs/>
        </w:rPr>
      </w:pPr>
      <w:r w:rsidRPr="00ED44C5">
        <w:rPr>
          <w:b/>
          <w:bCs/>
        </w:rPr>
        <w:t>Юридическое лицо, на имя которого выдано регистрационное удостоверение</w:t>
      </w:r>
    </w:p>
    <w:p w14:paraId="7BFF0305" w14:textId="3B79673E" w:rsidR="007E1350" w:rsidRPr="00543E41" w:rsidRDefault="007E1350" w:rsidP="00A91FDF">
      <w:pPr>
        <w:widowControl w:val="0"/>
        <w:jc w:val="both"/>
      </w:pPr>
      <w:r w:rsidRPr="00543E41">
        <w:t>АО «ВЕРТЕКС», Россия</w:t>
      </w:r>
    </w:p>
    <w:p w14:paraId="4624DCE3" w14:textId="77777777" w:rsidR="0085500F" w:rsidRPr="0085500F" w:rsidRDefault="007E1350" w:rsidP="0085500F">
      <w:r w:rsidRPr="00543E41">
        <w:t xml:space="preserve">Юридический адрес: </w:t>
      </w:r>
      <w:r w:rsidR="0085500F" w:rsidRPr="0085500F">
        <w:t>197350, г. Санкт-Петербург, Дорога в Каменку, д. 62, лит. А.</w:t>
      </w:r>
    </w:p>
    <w:p w14:paraId="0123C185" w14:textId="5E76762F" w:rsidR="007E1350" w:rsidRPr="00543E41" w:rsidRDefault="007E1350" w:rsidP="00A91FDF">
      <w:pPr>
        <w:widowControl w:val="0"/>
        <w:jc w:val="both"/>
      </w:pPr>
    </w:p>
    <w:p w14:paraId="53C3B19B" w14:textId="09E0018E" w:rsidR="007E1350" w:rsidRPr="00543E41" w:rsidRDefault="0085500F" w:rsidP="00A91FDF">
      <w:pPr>
        <w:widowControl w:val="0"/>
        <w:jc w:val="both"/>
      </w:pPr>
      <w:r w:rsidRPr="00F76F32">
        <w:rPr>
          <w:b/>
        </w:rPr>
        <w:t>Производитель</w:t>
      </w:r>
      <w:r w:rsidR="007E1350" w:rsidRPr="00543E41">
        <w:t>:</w:t>
      </w:r>
    </w:p>
    <w:p w14:paraId="62DA1C21" w14:textId="77777777" w:rsidR="00043740" w:rsidRPr="00043740" w:rsidRDefault="00043740" w:rsidP="00043740">
      <w:pPr>
        <w:jc w:val="both"/>
      </w:pPr>
      <w:r w:rsidRPr="00043740">
        <w:t>АО «ВЕРТЕКС», Россия</w:t>
      </w:r>
    </w:p>
    <w:p w14:paraId="6475FD55" w14:textId="220AA4BC" w:rsidR="00043740" w:rsidRPr="00043740" w:rsidRDefault="00043740" w:rsidP="00F76F32">
      <w:pPr>
        <w:jc w:val="both"/>
      </w:pPr>
      <w:r w:rsidRPr="00043740">
        <w:t>Адрес производства: г. Санкт-Петербург, Дорога в Каменку, д. 62, лит. А.</w:t>
      </w:r>
    </w:p>
    <w:p w14:paraId="1D849839" w14:textId="77777777" w:rsidR="00043740" w:rsidRPr="00043740" w:rsidRDefault="00043740" w:rsidP="00043740">
      <w:pPr>
        <w:jc w:val="both"/>
      </w:pPr>
      <w:r w:rsidRPr="00043740">
        <w:t>Организация, принимающая претензии потребителей:</w:t>
      </w:r>
    </w:p>
    <w:p w14:paraId="02D07D3B" w14:textId="77777777" w:rsidR="00043740" w:rsidRPr="00043740" w:rsidRDefault="00043740" w:rsidP="00043740">
      <w:pPr>
        <w:jc w:val="both"/>
      </w:pPr>
      <w:r w:rsidRPr="00043740">
        <w:t>АО «ВЕРТЕКС», Россия</w:t>
      </w:r>
    </w:p>
    <w:p w14:paraId="1360EE98" w14:textId="77777777" w:rsidR="00043740" w:rsidRPr="00043740" w:rsidRDefault="00043740" w:rsidP="00043740">
      <w:pPr>
        <w:jc w:val="both"/>
      </w:pPr>
      <w:r w:rsidRPr="00043740">
        <w:t>199106, г. Санкт-Петербург, Васильевский остров, 24-линия, д. 27, лит. А.</w:t>
      </w:r>
    </w:p>
    <w:p w14:paraId="2914079E" w14:textId="062B7703" w:rsidR="00043740" w:rsidRDefault="00043740" w:rsidP="00043740">
      <w:pPr>
        <w:widowControl w:val="0"/>
        <w:jc w:val="both"/>
      </w:pPr>
      <w:r w:rsidRPr="00043740">
        <w:t>Тел./факс:</w:t>
      </w:r>
      <w:r w:rsidR="007D030C">
        <w:t xml:space="preserve"> (812) 322-76-38</w:t>
      </w:r>
    </w:p>
    <w:p w14:paraId="7E3CE54E" w14:textId="3719E46D" w:rsidR="007E1350" w:rsidRDefault="007E1350" w:rsidP="00A91FDF">
      <w:pPr>
        <w:widowControl w:val="0"/>
        <w:jc w:val="both"/>
      </w:pPr>
    </w:p>
    <w:sectPr w:rsidR="007E13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3678" w14:textId="77777777" w:rsidR="00497B59" w:rsidRDefault="00497B59" w:rsidP="0005368E">
      <w:r>
        <w:separator/>
      </w:r>
    </w:p>
  </w:endnote>
  <w:endnote w:type="continuationSeparator" w:id="0">
    <w:p w14:paraId="2FDDDAAA" w14:textId="77777777" w:rsidR="00497B59" w:rsidRDefault="00497B59" w:rsidP="000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90212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E478776" w14:textId="1D1D6E0B" w:rsidR="00497B59" w:rsidRPr="00DA1AE3" w:rsidRDefault="00497B59">
        <w:pPr>
          <w:pStyle w:val="a5"/>
          <w:jc w:val="right"/>
          <w:rPr>
            <w:sz w:val="22"/>
          </w:rPr>
        </w:pPr>
        <w:r w:rsidRPr="00DA1AE3">
          <w:rPr>
            <w:sz w:val="22"/>
          </w:rPr>
          <w:fldChar w:fldCharType="begin"/>
        </w:r>
        <w:r w:rsidRPr="00DA1AE3">
          <w:rPr>
            <w:sz w:val="22"/>
          </w:rPr>
          <w:instrText>PAGE   \* MERGEFORMAT</w:instrText>
        </w:r>
        <w:r w:rsidRPr="00DA1AE3">
          <w:rPr>
            <w:sz w:val="22"/>
          </w:rPr>
          <w:fldChar w:fldCharType="separate"/>
        </w:r>
        <w:r w:rsidR="007D030C">
          <w:rPr>
            <w:noProof/>
            <w:sz w:val="22"/>
          </w:rPr>
          <w:t>1</w:t>
        </w:r>
        <w:r w:rsidRPr="00DA1AE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8187" w14:textId="77777777" w:rsidR="00497B59" w:rsidRDefault="00497B59" w:rsidP="0005368E">
      <w:r>
        <w:separator/>
      </w:r>
    </w:p>
  </w:footnote>
  <w:footnote w:type="continuationSeparator" w:id="0">
    <w:p w14:paraId="3C1E876F" w14:textId="77777777" w:rsidR="00497B59" w:rsidRDefault="00497B59" w:rsidP="0005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8CB"/>
    <w:multiLevelType w:val="hybridMultilevel"/>
    <w:tmpl w:val="C0A2A0FE"/>
    <w:lvl w:ilvl="0" w:tplc="ED42990A">
      <w:start w:val="1"/>
      <w:numFmt w:val="bullet"/>
      <w:lvlText w:val=""/>
      <w:lvlJc w:val="left"/>
      <w:pPr>
        <w:tabs>
          <w:tab w:val="num" w:pos="-90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702B"/>
    <w:multiLevelType w:val="hybridMultilevel"/>
    <w:tmpl w:val="7E96A56A"/>
    <w:lvl w:ilvl="0" w:tplc="328A65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3406"/>
    <w:multiLevelType w:val="hybridMultilevel"/>
    <w:tmpl w:val="5E846916"/>
    <w:lvl w:ilvl="0" w:tplc="0E8C81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D5"/>
    <w:rsid w:val="00003DF0"/>
    <w:rsid w:val="00005A98"/>
    <w:rsid w:val="00007B37"/>
    <w:rsid w:val="0001733E"/>
    <w:rsid w:val="00034976"/>
    <w:rsid w:val="000361C0"/>
    <w:rsid w:val="00037676"/>
    <w:rsid w:val="000436F5"/>
    <w:rsid w:val="00043740"/>
    <w:rsid w:val="00045B27"/>
    <w:rsid w:val="00047467"/>
    <w:rsid w:val="000516CD"/>
    <w:rsid w:val="0005368E"/>
    <w:rsid w:val="00077B0B"/>
    <w:rsid w:val="00090D83"/>
    <w:rsid w:val="000A4F10"/>
    <w:rsid w:val="000A7C4A"/>
    <w:rsid w:val="00102DC0"/>
    <w:rsid w:val="00134692"/>
    <w:rsid w:val="001352C1"/>
    <w:rsid w:val="00136E65"/>
    <w:rsid w:val="001372EB"/>
    <w:rsid w:val="001420C2"/>
    <w:rsid w:val="001432B7"/>
    <w:rsid w:val="00143B96"/>
    <w:rsid w:val="001525B8"/>
    <w:rsid w:val="001615EF"/>
    <w:rsid w:val="00165CF2"/>
    <w:rsid w:val="00170B8F"/>
    <w:rsid w:val="001820D8"/>
    <w:rsid w:val="00184946"/>
    <w:rsid w:val="001921B6"/>
    <w:rsid w:val="001924AF"/>
    <w:rsid w:val="001C01CF"/>
    <w:rsid w:val="001C7B80"/>
    <w:rsid w:val="001E036E"/>
    <w:rsid w:val="001E129E"/>
    <w:rsid w:val="001F0FA7"/>
    <w:rsid w:val="002045A1"/>
    <w:rsid w:val="002075B9"/>
    <w:rsid w:val="002224AE"/>
    <w:rsid w:val="00235B11"/>
    <w:rsid w:val="002759C4"/>
    <w:rsid w:val="002A1486"/>
    <w:rsid w:val="002A4A33"/>
    <w:rsid w:val="002B4275"/>
    <w:rsid w:val="002B6F77"/>
    <w:rsid w:val="002C0F5D"/>
    <w:rsid w:val="002C7382"/>
    <w:rsid w:val="002F364A"/>
    <w:rsid w:val="003048A1"/>
    <w:rsid w:val="00327E2D"/>
    <w:rsid w:val="00341ADA"/>
    <w:rsid w:val="00341FDD"/>
    <w:rsid w:val="0035537F"/>
    <w:rsid w:val="003567A8"/>
    <w:rsid w:val="0036420F"/>
    <w:rsid w:val="00371183"/>
    <w:rsid w:val="003745FA"/>
    <w:rsid w:val="00382446"/>
    <w:rsid w:val="00392E92"/>
    <w:rsid w:val="003A697E"/>
    <w:rsid w:val="003B3A88"/>
    <w:rsid w:val="003B493B"/>
    <w:rsid w:val="003C29C9"/>
    <w:rsid w:val="003D099D"/>
    <w:rsid w:val="004011A6"/>
    <w:rsid w:val="004170D6"/>
    <w:rsid w:val="004472C7"/>
    <w:rsid w:val="004604D8"/>
    <w:rsid w:val="004609C4"/>
    <w:rsid w:val="004818D8"/>
    <w:rsid w:val="0048584D"/>
    <w:rsid w:val="00487DE1"/>
    <w:rsid w:val="00497B59"/>
    <w:rsid w:val="004A0D81"/>
    <w:rsid w:val="004B5E0A"/>
    <w:rsid w:val="004B77F1"/>
    <w:rsid w:val="004D340E"/>
    <w:rsid w:val="004E1AD3"/>
    <w:rsid w:val="004F44A0"/>
    <w:rsid w:val="004F642F"/>
    <w:rsid w:val="00506503"/>
    <w:rsid w:val="005148BF"/>
    <w:rsid w:val="0053258C"/>
    <w:rsid w:val="00543C94"/>
    <w:rsid w:val="00543E41"/>
    <w:rsid w:val="005451C7"/>
    <w:rsid w:val="005667D0"/>
    <w:rsid w:val="005700F3"/>
    <w:rsid w:val="005839A3"/>
    <w:rsid w:val="005877FE"/>
    <w:rsid w:val="005A232A"/>
    <w:rsid w:val="005B1A56"/>
    <w:rsid w:val="005D232A"/>
    <w:rsid w:val="005E0C0D"/>
    <w:rsid w:val="005E6EF8"/>
    <w:rsid w:val="005F7509"/>
    <w:rsid w:val="0060642A"/>
    <w:rsid w:val="00622BA0"/>
    <w:rsid w:val="0062481E"/>
    <w:rsid w:val="00630580"/>
    <w:rsid w:val="00640829"/>
    <w:rsid w:val="006629F2"/>
    <w:rsid w:val="00664463"/>
    <w:rsid w:val="006676DF"/>
    <w:rsid w:val="00671A33"/>
    <w:rsid w:val="0068159A"/>
    <w:rsid w:val="00681F10"/>
    <w:rsid w:val="00690658"/>
    <w:rsid w:val="00697177"/>
    <w:rsid w:val="006972A0"/>
    <w:rsid w:val="00697F38"/>
    <w:rsid w:val="006A0671"/>
    <w:rsid w:val="006B3E20"/>
    <w:rsid w:val="006B7A34"/>
    <w:rsid w:val="006C3A2A"/>
    <w:rsid w:val="006C56C8"/>
    <w:rsid w:val="006D26BD"/>
    <w:rsid w:val="006D56AC"/>
    <w:rsid w:val="006E2E8B"/>
    <w:rsid w:val="00702EE8"/>
    <w:rsid w:val="00705341"/>
    <w:rsid w:val="00714632"/>
    <w:rsid w:val="0072005E"/>
    <w:rsid w:val="00731633"/>
    <w:rsid w:val="007338DC"/>
    <w:rsid w:val="00751582"/>
    <w:rsid w:val="00755B8C"/>
    <w:rsid w:val="007576B4"/>
    <w:rsid w:val="007728BE"/>
    <w:rsid w:val="007736DD"/>
    <w:rsid w:val="0077386D"/>
    <w:rsid w:val="0078513E"/>
    <w:rsid w:val="00787DBF"/>
    <w:rsid w:val="00795A17"/>
    <w:rsid w:val="007A0191"/>
    <w:rsid w:val="007A228D"/>
    <w:rsid w:val="007A4337"/>
    <w:rsid w:val="007A46D5"/>
    <w:rsid w:val="007B1E5E"/>
    <w:rsid w:val="007B66DC"/>
    <w:rsid w:val="007B67AE"/>
    <w:rsid w:val="007C6091"/>
    <w:rsid w:val="007D030C"/>
    <w:rsid w:val="007E1350"/>
    <w:rsid w:val="007E1435"/>
    <w:rsid w:val="007E2D91"/>
    <w:rsid w:val="00811BC6"/>
    <w:rsid w:val="0081585E"/>
    <w:rsid w:val="00843A36"/>
    <w:rsid w:val="008446CA"/>
    <w:rsid w:val="0085500F"/>
    <w:rsid w:val="008713E9"/>
    <w:rsid w:val="008724FA"/>
    <w:rsid w:val="00873C2A"/>
    <w:rsid w:val="00890B94"/>
    <w:rsid w:val="00895826"/>
    <w:rsid w:val="00895C5A"/>
    <w:rsid w:val="008B0199"/>
    <w:rsid w:val="008B2618"/>
    <w:rsid w:val="008B2A1A"/>
    <w:rsid w:val="008C7658"/>
    <w:rsid w:val="008D6D7A"/>
    <w:rsid w:val="00900B51"/>
    <w:rsid w:val="00901762"/>
    <w:rsid w:val="009106E4"/>
    <w:rsid w:val="00915B5D"/>
    <w:rsid w:val="00916D35"/>
    <w:rsid w:val="00933275"/>
    <w:rsid w:val="00935F68"/>
    <w:rsid w:val="009411FB"/>
    <w:rsid w:val="009434B3"/>
    <w:rsid w:val="00952113"/>
    <w:rsid w:val="00972649"/>
    <w:rsid w:val="00983589"/>
    <w:rsid w:val="00987A23"/>
    <w:rsid w:val="00990325"/>
    <w:rsid w:val="00990E34"/>
    <w:rsid w:val="009930C0"/>
    <w:rsid w:val="009A6900"/>
    <w:rsid w:val="009C5C2F"/>
    <w:rsid w:val="009E091C"/>
    <w:rsid w:val="009E1B95"/>
    <w:rsid w:val="009E4A44"/>
    <w:rsid w:val="009E5586"/>
    <w:rsid w:val="009E7CAD"/>
    <w:rsid w:val="009F0F59"/>
    <w:rsid w:val="009F6416"/>
    <w:rsid w:val="00A02E2A"/>
    <w:rsid w:val="00A07AB1"/>
    <w:rsid w:val="00A1230B"/>
    <w:rsid w:val="00A3297B"/>
    <w:rsid w:val="00A468B7"/>
    <w:rsid w:val="00A46AC0"/>
    <w:rsid w:val="00A47FC9"/>
    <w:rsid w:val="00A613E2"/>
    <w:rsid w:val="00A622F2"/>
    <w:rsid w:val="00A65F8A"/>
    <w:rsid w:val="00A72F32"/>
    <w:rsid w:val="00A81751"/>
    <w:rsid w:val="00A85F9F"/>
    <w:rsid w:val="00A872D8"/>
    <w:rsid w:val="00A91FDF"/>
    <w:rsid w:val="00AA0962"/>
    <w:rsid w:val="00AA0F61"/>
    <w:rsid w:val="00AA2DD5"/>
    <w:rsid w:val="00AB03E8"/>
    <w:rsid w:val="00AB51FB"/>
    <w:rsid w:val="00AC2EC7"/>
    <w:rsid w:val="00AD5748"/>
    <w:rsid w:val="00AF0234"/>
    <w:rsid w:val="00B0149C"/>
    <w:rsid w:val="00B0575B"/>
    <w:rsid w:val="00B15B56"/>
    <w:rsid w:val="00B42158"/>
    <w:rsid w:val="00B75B64"/>
    <w:rsid w:val="00B97001"/>
    <w:rsid w:val="00BA0B4F"/>
    <w:rsid w:val="00BA495B"/>
    <w:rsid w:val="00BB33DA"/>
    <w:rsid w:val="00BC54EE"/>
    <w:rsid w:val="00BD0E72"/>
    <w:rsid w:val="00BD1C11"/>
    <w:rsid w:val="00BF08D2"/>
    <w:rsid w:val="00C019B9"/>
    <w:rsid w:val="00C232B6"/>
    <w:rsid w:val="00C24BBE"/>
    <w:rsid w:val="00C369F2"/>
    <w:rsid w:val="00C45745"/>
    <w:rsid w:val="00C47CF6"/>
    <w:rsid w:val="00C51D1F"/>
    <w:rsid w:val="00C6266F"/>
    <w:rsid w:val="00C93936"/>
    <w:rsid w:val="00C93A76"/>
    <w:rsid w:val="00CF0F70"/>
    <w:rsid w:val="00CF138F"/>
    <w:rsid w:val="00D00B27"/>
    <w:rsid w:val="00D14C57"/>
    <w:rsid w:val="00D31309"/>
    <w:rsid w:val="00D341AD"/>
    <w:rsid w:val="00D43ADF"/>
    <w:rsid w:val="00D43E26"/>
    <w:rsid w:val="00D541CB"/>
    <w:rsid w:val="00D666B0"/>
    <w:rsid w:val="00D6733C"/>
    <w:rsid w:val="00D82401"/>
    <w:rsid w:val="00DA1AE3"/>
    <w:rsid w:val="00DC1EA6"/>
    <w:rsid w:val="00DD11AB"/>
    <w:rsid w:val="00DE2796"/>
    <w:rsid w:val="00DF0939"/>
    <w:rsid w:val="00DF24B6"/>
    <w:rsid w:val="00DF3F29"/>
    <w:rsid w:val="00DF52A7"/>
    <w:rsid w:val="00DF5C0B"/>
    <w:rsid w:val="00DF70EF"/>
    <w:rsid w:val="00E17B6E"/>
    <w:rsid w:val="00E20FCF"/>
    <w:rsid w:val="00E24AF1"/>
    <w:rsid w:val="00E31EE9"/>
    <w:rsid w:val="00E33AFB"/>
    <w:rsid w:val="00E40A59"/>
    <w:rsid w:val="00E71F31"/>
    <w:rsid w:val="00E90DAE"/>
    <w:rsid w:val="00E90FF1"/>
    <w:rsid w:val="00EA1108"/>
    <w:rsid w:val="00EA2E6A"/>
    <w:rsid w:val="00EB65BA"/>
    <w:rsid w:val="00EE544B"/>
    <w:rsid w:val="00F04C7F"/>
    <w:rsid w:val="00F07BFB"/>
    <w:rsid w:val="00F14711"/>
    <w:rsid w:val="00F1541B"/>
    <w:rsid w:val="00F327B5"/>
    <w:rsid w:val="00F41001"/>
    <w:rsid w:val="00F441F3"/>
    <w:rsid w:val="00F507E6"/>
    <w:rsid w:val="00F566E7"/>
    <w:rsid w:val="00F71E01"/>
    <w:rsid w:val="00F72A28"/>
    <w:rsid w:val="00F76F32"/>
    <w:rsid w:val="00F86EEC"/>
    <w:rsid w:val="00FA2196"/>
    <w:rsid w:val="00FB2294"/>
    <w:rsid w:val="00FB35FA"/>
    <w:rsid w:val="00FC595B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65B1"/>
  <w15:docId w15:val="{2FFA000C-DD03-4C16-BE07-3A5B9302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A6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A46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A46D5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A46D5"/>
    <w:pPr>
      <w:keepNext/>
      <w:jc w:val="center"/>
      <w:outlineLvl w:val="4"/>
    </w:p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A49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A4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A46D5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A46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A4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7A46D5"/>
    <w:pPr>
      <w:spacing w:before="100" w:beforeAutospacing="1" w:after="100" w:afterAutospacing="1"/>
    </w:pPr>
  </w:style>
  <w:style w:type="paragraph" w:styleId="a5">
    <w:name w:val="footer"/>
    <w:basedOn w:val="a0"/>
    <w:link w:val="a6"/>
    <w:uiPriority w:val="99"/>
    <w:rsid w:val="007A46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7A4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0"/>
    <w:rsid w:val="007A46D5"/>
    <w:rPr>
      <w:color w:val="000000"/>
    </w:rPr>
  </w:style>
  <w:style w:type="character" w:styleId="a7">
    <w:name w:val="Hyperlink"/>
    <w:basedOn w:val="a1"/>
    <w:uiPriority w:val="99"/>
    <w:semiHidden/>
    <w:unhideWhenUsed/>
    <w:rsid w:val="009A6900"/>
    <w:rPr>
      <w:strike w:val="0"/>
      <w:dstrike w:val="0"/>
      <w:color w:val="0000FF"/>
      <w:u w:val="single"/>
      <w:effect w:val="none"/>
    </w:rPr>
  </w:style>
  <w:style w:type="paragraph" w:styleId="a8">
    <w:name w:val="Balloon Text"/>
    <w:basedOn w:val="a0"/>
    <w:link w:val="a9"/>
    <w:uiPriority w:val="99"/>
    <w:semiHidden/>
    <w:unhideWhenUsed/>
    <w:rsid w:val="009A69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A690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1"/>
    <w:uiPriority w:val="22"/>
    <w:qFormat/>
    <w:rsid w:val="009A6900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9A6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uiPriority w:val="59"/>
    <w:rsid w:val="0093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A4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A4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">
    <w:name w:val="большой заг список"/>
    <w:basedOn w:val="a0"/>
    <w:qFormat/>
    <w:rsid w:val="000A4F10"/>
    <w:pPr>
      <w:numPr>
        <w:numId w:val="2"/>
      </w:numPr>
      <w:spacing w:after="160" w:line="360" w:lineRule="auto"/>
      <w:jc w:val="both"/>
    </w:pPr>
    <w:rPr>
      <w:rFonts w:eastAsia="TimesNewRomanPSMT"/>
      <w:color w:val="000000"/>
      <w:szCs w:val="28"/>
    </w:rPr>
  </w:style>
  <w:style w:type="paragraph" w:styleId="21">
    <w:name w:val="Body Text 2"/>
    <w:basedOn w:val="a0"/>
    <w:link w:val="22"/>
    <w:rsid w:val="005667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566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ad"/>
    <w:rsid w:val="005667D0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566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0536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53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C45745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C45745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45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574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57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l.ru/poisk_preparatov/lat_N06DX0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BC72-664B-4437-A61B-22D7634A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Сычкова Ирина Викторовна</dc:creator>
  <cp:lastModifiedBy>Дроздова Вероника Борисовна</cp:lastModifiedBy>
  <cp:revision>215</cp:revision>
  <cp:lastPrinted>2015-04-03T12:37:00Z</cp:lastPrinted>
  <dcterms:created xsi:type="dcterms:W3CDTF">2015-04-08T06:52:00Z</dcterms:created>
  <dcterms:modified xsi:type="dcterms:W3CDTF">2022-06-28T08:15:00Z</dcterms:modified>
</cp:coreProperties>
</file>